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E324" w14:textId="77777777" w:rsidR="00DF1A42" w:rsidRDefault="00DF1A42" w:rsidP="00DF1A42">
      <w:pPr>
        <w:ind w:left="6480" w:firstLine="720"/>
      </w:pPr>
      <w:r>
        <w:rPr>
          <w:noProof/>
        </w:rPr>
        <w:drawing>
          <wp:inline distT="0" distB="0" distL="0" distR="0" wp14:anchorId="5D84B9F6" wp14:editId="47DF0AA0">
            <wp:extent cx="1981200" cy="457200"/>
            <wp:effectExtent l="0" t="0" r="0" b="0"/>
            <wp:docPr id="7" name="Picture 7"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inline>
        </w:drawing>
      </w:r>
    </w:p>
    <w:p w14:paraId="44D2A8BB" w14:textId="77777777" w:rsidR="00DF1A42" w:rsidRDefault="00DF1A42" w:rsidP="00DF1A42">
      <w:pPr>
        <w:ind w:left="6480" w:firstLine="720"/>
      </w:pPr>
    </w:p>
    <w:p w14:paraId="609FE0CD" w14:textId="109ED578" w:rsidR="00DF1A42" w:rsidRDefault="00DF1A42" w:rsidP="00DF1A42">
      <w:pPr>
        <w:pStyle w:val="NormalWeb"/>
        <w:rPr>
          <w:rStyle w:val="apple-converted-space"/>
          <w:rFonts w:ascii="-webkit-standard" w:hAnsi="-webkit-standard"/>
          <w:b/>
          <w:color w:val="000000"/>
          <w:sz w:val="36"/>
          <w:szCs w:val="36"/>
        </w:rPr>
      </w:pPr>
      <w:r>
        <w:rPr>
          <w:rFonts w:ascii="-webkit-standard" w:hAnsi="-webkit-standard"/>
          <w:b/>
          <w:color w:val="000000"/>
          <w:sz w:val="36"/>
          <w:szCs w:val="36"/>
        </w:rPr>
        <w:t>WEEKLY COMMENTARY – 02.05.2022</w:t>
      </w:r>
      <w:r>
        <w:rPr>
          <w:rStyle w:val="apple-converted-space"/>
          <w:rFonts w:ascii="-webkit-standard" w:hAnsi="-webkit-standard"/>
          <w:b/>
          <w:color w:val="000000"/>
          <w:sz w:val="36"/>
          <w:szCs w:val="36"/>
        </w:rPr>
        <w:t> </w:t>
      </w:r>
    </w:p>
    <w:p w14:paraId="708014A0" w14:textId="77777777" w:rsidR="00DF1A42" w:rsidRDefault="00DF1A42" w:rsidP="00DF1A42">
      <w:pPr>
        <w:rPr>
          <w:rFonts w:cstheme="minorHAnsi"/>
          <w:b/>
          <w:bCs/>
          <w:sz w:val="32"/>
          <w:szCs w:val="32"/>
        </w:rPr>
      </w:pPr>
      <w:r>
        <w:rPr>
          <w:rFonts w:cstheme="minorHAnsi"/>
          <w:b/>
          <w:bCs/>
          <w:sz w:val="32"/>
          <w:szCs w:val="32"/>
        </w:rPr>
        <w:t>U.S. Equities</w:t>
      </w:r>
      <w:r>
        <w:rPr>
          <w:rStyle w:val="apple-converted-space"/>
          <w:rFonts w:cstheme="minorHAnsi"/>
          <w:b/>
          <w:bCs/>
          <w:sz w:val="32"/>
          <w:szCs w:val="32"/>
        </w:rPr>
        <w:t> </w:t>
      </w:r>
    </w:p>
    <w:p w14:paraId="7CA43D80" w14:textId="3AA68B98" w:rsidR="00DF1A42" w:rsidRPr="002A151D" w:rsidRDefault="00DF1A42" w:rsidP="00DF1A42">
      <w:pPr>
        <w:pStyle w:val="NoSpacing"/>
        <w:rPr>
          <w:rFonts w:cstheme="minorHAnsi"/>
          <w:sz w:val="28"/>
          <w:szCs w:val="28"/>
        </w:rPr>
      </w:pPr>
      <w:r>
        <w:rPr>
          <w:rFonts w:cstheme="minorHAnsi"/>
          <w:sz w:val="28"/>
          <w:szCs w:val="28"/>
        </w:rPr>
        <w:t>US stocks continued to rebound from the selloff that began with the start of the year, recording a second week of positive returns. Volatility through this earnings season has remained high. The Dow Jones finished the week 1.1% higher at 35,089</w:t>
      </w:r>
      <w:r w:rsidR="004B67FF">
        <w:rPr>
          <w:rFonts w:cstheme="minorHAnsi"/>
          <w:sz w:val="28"/>
          <w:szCs w:val="28"/>
        </w:rPr>
        <w:t>.74,</w:t>
      </w:r>
      <w:r>
        <w:rPr>
          <w:rFonts w:cstheme="minorHAnsi"/>
          <w:sz w:val="28"/>
          <w:szCs w:val="28"/>
        </w:rPr>
        <w:t xml:space="preserve"> the S&amp;P 500 climbed 1.6% to </w:t>
      </w:r>
      <w:r w:rsidR="004B67FF">
        <w:rPr>
          <w:rFonts w:cstheme="minorHAnsi"/>
          <w:sz w:val="28"/>
          <w:szCs w:val="28"/>
        </w:rPr>
        <w:t xml:space="preserve">4500.53 </w:t>
      </w:r>
      <w:r>
        <w:rPr>
          <w:rFonts w:cstheme="minorHAnsi"/>
          <w:sz w:val="28"/>
          <w:szCs w:val="28"/>
        </w:rPr>
        <w:t>and the Nasdaq Composite advanced 2.4%</w:t>
      </w:r>
      <w:r w:rsidR="004B67FF">
        <w:rPr>
          <w:rFonts w:cstheme="minorHAnsi"/>
          <w:sz w:val="28"/>
          <w:szCs w:val="28"/>
        </w:rPr>
        <w:t xml:space="preserve"> to </w:t>
      </w:r>
      <w:r w:rsidR="0038466C">
        <w:rPr>
          <w:rFonts w:cstheme="minorHAnsi"/>
          <w:sz w:val="28"/>
          <w:szCs w:val="28"/>
        </w:rPr>
        <w:t>14,098.01.</w:t>
      </w:r>
    </w:p>
    <w:p w14:paraId="43D84F9C" w14:textId="77777777" w:rsidR="00DF1A42" w:rsidRPr="002A151D" w:rsidRDefault="00DF1A42" w:rsidP="00DF1A42">
      <w:pPr>
        <w:pStyle w:val="NoSpacing"/>
        <w:rPr>
          <w:rFonts w:cstheme="minorHAnsi"/>
          <w:sz w:val="28"/>
          <w:szCs w:val="28"/>
        </w:rPr>
      </w:pPr>
    </w:p>
    <w:p w14:paraId="5C72F41A" w14:textId="77777777" w:rsidR="00DF1A42" w:rsidRPr="002A151D" w:rsidRDefault="00DF1A42" w:rsidP="00DF1A42">
      <w:pPr>
        <w:rPr>
          <w:rFonts w:cstheme="minorHAnsi"/>
          <w:b/>
          <w:bCs/>
          <w:sz w:val="28"/>
          <w:szCs w:val="28"/>
        </w:rPr>
      </w:pPr>
      <w:r w:rsidRPr="002A151D">
        <w:rPr>
          <w:rFonts w:cstheme="minorHAnsi"/>
          <w:b/>
          <w:bCs/>
          <w:sz w:val="28"/>
          <w:szCs w:val="28"/>
        </w:rPr>
        <w:t>Treasuries</w:t>
      </w:r>
    </w:p>
    <w:p w14:paraId="410B80E2" w14:textId="207A0F8B" w:rsidR="00DF1A42" w:rsidRPr="000925BB" w:rsidRDefault="00DF1A42" w:rsidP="00DF1A42">
      <w:pPr>
        <w:rPr>
          <w:rFonts w:cstheme="minorHAnsi"/>
          <w:sz w:val="28"/>
          <w:szCs w:val="28"/>
        </w:rPr>
      </w:pPr>
      <w:r w:rsidRPr="000925BB">
        <w:rPr>
          <w:rFonts w:cstheme="minorHAnsi"/>
          <w:color w:val="2E2E2E"/>
          <w:sz w:val="28"/>
          <w:szCs w:val="28"/>
        </w:rPr>
        <w:t xml:space="preserve">The </w:t>
      </w:r>
      <w:r>
        <w:rPr>
          <w:rFonts w:cstheme="minorHAnsi"/>
          <w:color w:val="2E2E2E"/>
          <w:sz w:val="28"/>
          <w:szCs w:val="28"/>
        </w:rPr>
        <w:t xml:space="preserve">unexpectedly strong payroll report on Friday helped the 2-year Treasury note </w:t>
      </w:r>
      <w:r w:rsidR="00A56FEA">
        <w:rPr>
          <w:rFonts w:cstheme="minorHAnsi"/>
          <w:color w:val="2E2E2E"/>
          <w:sz w:val="28"/>
          <w:szCs w:val="28"/>
        </w:rPr>
        <w:t xml:space="preserve">yield </w:t>
      </w:r>
      <w:r>
        <w:rPr>
          <w:rFonts w:cstheme="minorHAnsi"/>
          <w:color w:val="2E2E2E"/>
          <w:sz w:val="28"/>
          <w:szCs w:val="28"/>
        </w:rPr>
        <w:t xml:space="preserve">score its </w:t>
      </w:r>
      <w:r w:rsidR="00A56FEA">
        <w:rPr>
          <w:rFonts w:cstheme="minorHAnsi"/>
          <w:color w:val="2E2E2E"/>
          <w:sz w:val="28"/>
          <w:szCs w:val="28"/>
        </w:rPr>
        <w:t xml:space="preserve">biggest one-day climb in almost two years. On the week, the 2-year Treasury </w:t>
      </w:r>
      <w:r w:rsidR="007E247E">
        <w:rPr>
          <w:rFonts w:cstheme="minorHAnsi"/>
          <w:color w:val="2E2E2E"/>
          <w:sz w:val="28"/>
          <w:szCs w:val="28"/>
        </w:rPr>
        <w:t xml:space="preserve">yield </w:t>
      </w:r>
      <w:r w:rsidR="00A56FEA">
        <w:rPr>
          <w:rFonts w:cstheme="minorHAnsi"/>
          <w:color w:val="2E2E2E"/>
          <w:sz w:val="28"/>
          <w:szCs w:val="28"/>
        </w:rPr>
        <w:t xml:space="preserve">rose 15.2 basis points, the 10-year Treasury yield climbed 15.1 basis points and the 30-year bond yield advanced 14.9 basis points. </w:t>
      </w:r>
    </w:p>
    <w:p w14:paraId="715C261B" w14:textId="77777777" w:rsidR="00DF1A42" w:rsidRPr="002A151D" w:rsidRDefault="00DF1A42" w:rsidP="00DF1A42">
      <w:pPr>
        <w:rPr>
          <w:rFonts w:cstheme="minorHAnsi"/>
          <w:b/>
          <w:sz w:val="28"/>
          <w:szCs w:val="28"/>
        </w:rPr>
      </w:pPr>
      <w:r w:rsidRPr="002A151D">
        <w:rPr>
          <w:rFonts w:cstheme="minorHAnsi"/>
          <w:b/>
          <w:sz w:val="28"/>
          <w:szCs w:val="28"/>
        </w:rPr>
        <w:t>Dollar</w:t>
      </w:r>
    </w:p>
    <w:p w14:paraId="772EC900" w14:textId="46373A16" w:rsidR="00DF1A42" w:rsidRDefault="00DF1A42" w:rsidP="00DF1A42">
      <w:pPr>
        <w:rPr>
          <w:sz w:val="28"/>
          <w:szCs w:val="28"/>
        </w:rPr>
      </w:pPr>
      <w:r>
        <w:rPr>
          <w:sz w:val="28"/>
          <w:szCs w:val="28"/>
        </w:rPr>
        <w:t xml:space="preserve">The dollar index </w:t>
      </w:r>
      <w:r w:rsidR="007E247E">
        <w:rPr>
          <w:sz w:val="28"/>
          <w:szCs w:val="28"/>
        </w:rPr>
        <w:t>was lower over the week after the Bank of England raised rates for the second straight meeting.</w:t>
      </w:r>
    </w:p>
    <w:p w14:paraId="58E1F41E" w14:textId="77777777" w:rsidR="00DF1A42" w:rsidRPr="002A151D" w:rsidRDefault="00DF1A42" w:rsidP="00DF1A42">
      <w:pPr>
        <w:rPr>
          <w:rStyle w:val="apple-converted-space"/>
          <w:rFonts w:cstheme="minorHAnsi"/>
          <w:b/>
          <w:bCs/>
          <w:sz w:val="28"/>
          <w:szCs w:val="28"/>
        </w:rPr>
      </w:pPr>
      <w:r w:rsidRPr="002A151D">
        <w:rPr>
          <w:rFonts w:cstheme="minorHAnsi"/>
          <w:b/>
          <w:bCs/>
          <w:sz w:val="28"/>
          <w:szCs w:val="28"/>
        </w:rPr>
        <w:t>Gold</w:t>
      </w:r>
      <w:r w:rsidRPr="002A151D">
        <w:rPr>
          <w:rStyle w:val="apple-converted-space"/>
          <w:rFonts w:cstheme="minorHAnsi"/>
          <w:b/>
          <w:bCs/>
          <w:sz w:val="28"/>
          <w:szCs w:val="28"/>
        </w:rPr>
        <w:t> </w:t>
      </w:r>
    </w:p>
    <w:p w14:paraId="6F5F0B1F" w14:textId="3A0DCE5F" w:rsidR="00DF1A42" w:rsidRDefault="00A56FEA" w:rsidP="00DF1A42">
      <w:pPr>
        <w:rPr>
          <w:rFonts w:cstheme="minorHAnsi"/>
          <w:sz w:val="28"/>
          <w:szCs w:val="28"/>
        </w:rPr>
      </w:pPr>
      <w:r>
        <w:rPr>
          <w:rFonts w:cstheme="minorHAnsi"/>
          <w:sz w:val="28"/>
          <w:szCs w:val="28"/>
        </w:rPr>
        <w:t xml:space="preserve">The jobs report also helped gold rally on the week. Gold prices were 1.2% higher on the week., its biggest weekly move since November. </w:t>
      </w:r>
    </w:p>
    <w:p w14:paraId="2C3A9781" w14:textId="77777777" w:rsidR="00DF1A42" w:rsidRPr="002A151D" w:rsidRDefault="00DF1A42" w:rsidP="00DF1A42">
      <w:pPr>
        <w:rPr>
          <w:rStyle w:val="apple-converted-space"/>
          <w:rFonts w:cstheme="minorHAnsi"/>
          <w:b/>
          <w:bCs/>
          <w:sz w:val="28"/>
          <w:szCs w:val="28"/>
        </w:rPr>
      </w:pPr>
      <w:r w:rsidRPr="002A151D">
        <w:rPr>
          <w:rFonts w:cstheme="minorHAnsi"/>
          <w:b/>
          <w:bCs/>
          <w:sz w:val="28"/>
          <w:szCs w:val="28"/>
        </w:rPr>
        <w:t>Crude Oil</w:t>
      </w:r>
      <w:r w:rsidRPr="002A151D">
        <w:rPr>
          <w:rStyle w:val="apple-converted-space"/>
          <w:rFonts w:cstheme="minorHAnsi"/>
          <w:b/>
          <w:bCs/>
          <w:sz w:val="28"/>
          <w:szCs w:val="28"/>
        </w:rPr>
        <w:t> </w:t>
      </w:r>
    </w:p>
    <w:p w14:paraId="5ED2F16D" w14:textId="5A3FAD0C" w:rsidR="00DF1A42" w:rsidRDefault="00DF1A42" w:rsidP="00DF1A42">
      <w:pPr>
        <w:rPr>
          <w:rFonts w:cstheme="minorHAnsi"/>
          <w:color w:val="2E2E2E"/>
          <w:sz w:val="28"/>
          <w:szCs w:val="28"/>
        </w:rPr>
      </w:pPr>
      <w:r w:rsidRPr="008E0ECA">
        <w:rPr>
          <w:rFonts w:cstheme="minorHAnsi"/>
          <w:sz w:val="28"/>
          <w:szCs w:val="28"/>
        </w:rPr>
        <w:t xml:space="preserve">Oil prices recorded a </w:t>
      </w:r>
      <w:r w:rsidR="00A56FEA">
        <w:rPr>
          <w:rFonts w:cstheme="minorHAnsi"/>
          <w:sz w:val="28"/>
          <w:szCs w:val="28"/>
        </w:rPr>
        <w:t xml:space="preserve">seventh </w:t>
      </w:r>
      <w:r w:rsidRPr="008E0ECA">
        <w:rPr>
          <w:rFonts w:cstheme="minorHAnsi"/>
          <w:sz w:val="28"/>
          <w:szCs w:val="28"/>
        </w:rPr>
        <w:t>straight week of gains</w:t>
      </w:r>
      <w:r w:rsidR="00A56FEA">
        <w:rPr>
          <w:rFonts w:cstheme="minorHAnsi"/>
          <w:sz w:val="28"/>
          <w:szCs w:val="28"/>
        </w:rPr>
        <w:t>, with the US benchmark recording it</w:t>
      </w:r>
      <w:r w:rsidR="007E247E">
        <w:rPr>
          <w:rFonts w:cstheme="minorHAnsi"/>
          <w:sz w:val="28"/>
          <w:szCs w:val="28"/>
        </w:rPr>
        <w:t>’</w:t>
      </w:r>
      <w:r w:rsidR="00A56FEA">
        <w:rPr>
          <w:rFonts w:cstheme="minorHAnsi"/>
          <w:sz w:val="28"/>
          <w:szCs w:val="28"/>
        </w:rPr>
        <w:t xml:space="preserve">s highest finish since September 2014. </w:t>
      </w:r>
      <w:r w:rsidRPr="008E0ECA">
        <w:rPr>
          <w:rFonts w:cstheme="minorHAnsi"/>
          <w:sz w:val="28"/>
          <w:szCs w:val="28"/>
        </w:rPr>
        <w:t xml:space="preserve"> </w:t>
      </w:r>
      <w:r w:rsidR="00A56FEA">
        <w:rPr>
          <w:rFonts w:cstheme="minorHAnsi"/>
          <w:sz w:val="28"/>
          <w:szCs w:val="28"/>
        </w:rPr>
        <w:t xml:space="preserve">West Texas Intermediate crude was 6.3% higher on the week, with Brent scoring a 5.4% rise. </w:t>
      </w:r>
    </w:p>
    <w:p w14:paraId="768B31D5" w14:textId="1F00A4D8" w:rsidR="00DF1A42" w:rsidRDefault="00DF1A42"/>
    <w:p w14:paraId="4B19302A" w14:textId="77777777" w:rsidR="008E65FA" w:rsidRDefault="008E65FA" w:rsidP="008E65FA">
      <w:pPr>
        <w:ind w:left="6480" w:firstLine="720"/>
      </w:pPr>
    </w:p>
    <w:p w14:paraId="2632C358" w14:textId="77777777" w:rsidR="008E65FA" w:rsidRDefault="008E65FA" w:rsidP="008E65FA">
      <w:pPr>
        <w:ind w:left="6480" w:firstLine="720"/>
      </w:pPr>
    </w:p>
    <w:p w14:paraId="5B03A00C" w14:textId="1CADD2AF" w:rsidR="008E65FA" w:rsidRDefault="008E65FA" w:rsidP="008E65FA">
      <w:pPr>
        <w:ind w:left="6480" w:firstLine="720"/>
      </w:pPr>
      <w:r>
        <w:rPr>
          <w:noProof/>
        </w:rPr>
        <w:lastRenderedPageBreak/>
        <w:drawing>
          <wp:inline distT="0" distB="0" distL="0" distR="0" wp14:anchorId="351FC54D" wp14:editId="1EE0E5C1">
            <wp:extent cx="1981200" cy="457200"/>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inline>
        </w:drawing>
      </w:r>
    </w:p>
    <w:tbl>
      <w:tblPr>
        <w:tblW w:w="7560" w:type="dxa"/>
        <w:tblCellMar>
          <w:left w:w="0" w:type="dxa"/>
          <w:right w:w="0" w:type="dxa"/>
        </w:tblCellMar>
        <w:tblLook w:val="04A0" w:firstRow="1" w:lastRow="0" w:firstColumn="1" w:lastColumn="0" w:noHBand="0" w:noVBand="1"/>
      </w:tblPr>
      <w:tblGrid>
        <w:gridCol w:w="3440"/>
        <w:gridCol w:w="1700"/>
        <w:gridCol w:w="1140"/>
        <w:gridCol w:w="1280"/>
      </w:tblGrid>
      <w:tr w:rsidR="00A15373" w14:paraId="6D393494" w14:textId="77777777" w:rsidTr="00A15373">
        <w:trPr>
          <w:trHeight w:val="300"/>
        </w:trPr>
        <w:tc>
          <w:tcPr>
            <w:tcW w:w="3440" w:type="dxa"/>
            <w:tcBorders>
              <w:top w:val="nil"/>
              <w:left w:val="nil"/>
              <w:bottom w:val="nil"/>
              <w:right w:val="nil"/>
            </w:tcBorders>
            <w:shd w:val="clear" w:color="000000" w:fill="4F81BD"/>
            <w:noWrap/>
            <w:tcMar>
              <w:top w:w="15" w:type="dxa"/>
              <w:left w:w="15" w:type="dxa"/>
              <w:bottom w:w="0" w:type="dxa"/>
              <w:right w:w="15" w:type="dxa"/>
            </w:tcMar>
            <w:vAlign w:val="bottom"/>
            <w:hideMark/>
          </w:tcPr>
          <w:p w14:paraId="55A9D867" w14:textId="77777777" w:rsidR="00A15373" w:rsidRDefault="00A15373">
            <w:pPr>
              <w:rPr>
                <w:rFonts w:ascii="Calibri" w:hAnsi="Calibri" w:cs="Calibri"/>
                <w:b/>
                <w:bCs/>
                <w:color w:val="FFFFFF"/>
              </w:rPr>
            </w:pPr>
            <w:r>
              <w:rPr>
                <w:rFonts w:ascii="Calibri" w:hAnsi="Calibri" w:cs="Calibri"/>
                <w:b/>
                <w:bCs/>
                <w:color w:val="FFFFFF"/>
              </w:rPr>
              <w:t>Ticker</w:t>
            </w:r>
          </w:p>
        </w:tc>
        <w:tc>
          <w:tcPr>
            <w:tcW w:w="1700" w:type="dxa"/>
            <w:tcBorders>
              <w:top w:val="nil"/>
              <w:left w:val="nil"/>
              <w:bottom w:val="nil"/>
              <w:right w:val="nil"/>
            </w:tcBorders>
            <w:shd w:val="clear" w:color="000000" w:fill="4F81BD"/>
            <w:noWrap/>
            <w:tcMar>
              <w:top w:w="15" w:type="dxa"/>
              <w:left w:w="15" w:type="dxa"/>
              <w:bottom w:w="0" w:type="dxa"/>
              <w:right w:w="15" w:type="dxa"/>
            </w:tcMar>
            <w:vAlign w:val="bottom"/>
            <w:hideMark/>
          </w:tcPr>
          <w:p w14:paraId="6FDFCE24" w14:textId="77777777" w:rsidR="00A15373" w:rsidRDefault="00A15373">
            <w:pPr>
              <w:rPr>
                <w:rFonts w:ascii="Calibri" w:hAnsi="Calibri" w:cs="Calibri"/>
                <w:b/>
                <w:bCs/>
                <w:color w:val="FFFFFF"/>
              </w:rPr>
            </w:pPr>
            <w:r>
              <w:rPr>
                <w:rFonts w:ascii="Calibri" w:hAnsi="Calibri" w:cs="Calibri"/>
                <w:b/>
                <w:bCs/>
                <w:color w:val="FFFFFF"/>
              </w:rPr>
              <w:t>Last</w:t>
            </w:r>
          </w:p>
        </w:tc>
        <w:tc>
          <w:tcPr>
            <w:tcW w:w="1140" w:type="dxa"/>
            <w:tcBorders>
              <w:top w:val="nil"/>
              <w:left w:val="nil"/>
              <w:bottom w:val="nil"/>
              <w:right w:val="nil"/>
            </w:tcBorders>
            <w:shd w:val="clear" w:color="000000" w:fill="4F81BD"/>
            <w:noWrap/>
            <w:tcMar>
              <w:top w:w="15" w:type="dxa"/>
              <w:left w:w="15" w:type="dxa"/>
              <w:bottom w:w="0" w:type="dxa"/>
              <w:right w:w="15" w:type="dxa"/>
            </w:tcMar>
            <w:vAlign w:val="bottom"/>
            <w:hideMark/>
          </w:tcPr>
          <w:p w14:paraId="77F43C67" w14:textId="77777777" w:rsidR="00A15373" w:rsidRDefault="00A15373">
            <w:pPr>
              <w:rPr>
                <w:rFonts w:ascii="Calibri" w:hAnsi="Calibri" w:cs="Calibri"/>
                <w:b/>
                <w:bCs/>
                <w:color w:val="FFFFFF"/>
              </w:rPr>
            </w:pPr>
            <w:r>
              <w:rPr>
                <w:rFonts w:ascii="Calibri" w:hAnsi="Calibri" w:cs="Calibri"/>
                <w:b/>
                <w:bCs/>
                <w:color w:val="FFFFFF"/>
              </w:rPr>
              <w:t>%WEEKLY</w:t>
            </w:r>
          </w:p>
        </w:tc>
        <w:tc>
          <w:tcPr>
            <w:tcW w:w="1280" w:type="dxa"/>
            <w:tcBorders>
              <w:top w:val="nil"/>
              <w:left w:val="nil"/>
              <w:bottom w:val="nil"/>
              <w:right w:val="nil"/>
            </w:tcBorders>
            <w:shd w:val="clear" w:color="000000" w:fill="4F81BD"/>
            <w:noWrap/>
            <w:tcMar>
              <w:top w:w="15" w:type="dxa"/>
              <w:left w:w="15" w:type="dxa"/>
              <w:bottom w:w="0" w:type="dxa"/>
              <w:right w:w="15" w:type="dxa"/>
            </w:tcMar>
            <w:vAlign w:val="bottom"/>
            <w:hideMark/>
          </w:tcPr>
          <w:p w14:paraId="6FBE2909" w14:textId="77777777" w:rsidR="00A15373" w:rsidRDefault="00A15373">
            <w:pPr>
              <w:rPr>
                <w:rFonts w:ascii="Calibri" w:hAnsi="Calibri" w:cs="Calibri"/>
                <w:b/>
                <w:bCs/>
                <w:color w:val="FFFFFF"/>
              </w:rPr>
            </w:pPr>
            <w:r>
              <w:rPr>
                <w:rFonts w:ascii="Calibri" w:hAnsi="Calibri" w:cs="Calibri"/>
                <w:b/>
                <w:bCs/>
                <w:color w:val="FFFFFF"/>
              </w:rPr>
              <w:t>%YTD</w:t>
            </w:r>
          </w:p>
        </w:tc>
      </w:tr>
      <w:tr w:rsidR="00A15373" w14:paraId="77E13541" w14:textId="77777777" w:rsidTr="00A15373">
        <w:trPr>
          <w:trHeight w:val="300"/>
        </w:trPr>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46A30AC6" w14:textId="77777777" w:rsidR="00A15373" w:rsidRDefault="00A15373">
            <w:pPr>
              <w:rPr>
                <w:rFonts w:ascii="Calibri" w:hAnsi="Calibri" w:cs="Calibri"/>
                <w:b/>
                <w:bCs/>
                <w:color w:val="000000"/>
              </w:rPr>
            </w:pPr>
            <w:r>
              <w:rPr>
                <w:rFonts w:ascii="Calibri" w:hAnsi="Calibri" w:cs="Calibri"/>
                <w:b/>
                <w:bCs/>
                <w:color w:val="000000"/>
              </w:rPr>
              <w:t>INDICES</w:t>
            </w:r>
          </w:p>
        </w:tc>
      </w:tr>
      <w:tr w:rsidR="00A15373" w14:paraId="3E76AC05" w14:textId="77777777" w:rsidTr="00A15373">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FAC090"/>
            <w:noWrap/>
            <w:tcMar>
              <w:top w:w="15" w:type="dxa"/>
              <w:left w:w="15" w:type="dxa"/>
              <w:bottom w:w="0" w:type="dxa"/>
              <w:right w:w="15" w:type="dxa"/>
            </w:tcMar>
            <w:vAlign w:val="bottom"/>
            <w:hideMark/>
          </w:tcPr>
          <w:p w14:paraId="15C4EAF6" w14:textId="77777777" w:rsidR="00A15373" w:rsidRDefault="00A15373">
            <w:pPr>
              <w:rPr>
                <w:rFonts w:ascii="Calibri" w:hAnsi="Calibri" w:cs="Calibri"/>
                <w:b/>
                <w:bCs/>
                <w:color w:val="000000"/>
              </w:rPr>
            </w:pPr>
            <w:r>
              <w:rPr>
                <w:rFonts w:ascii="Calibri" w:hAnsi="Calibri" w:cs="Calibri"/>
                <w:b/>
                <w:bCs/>
                <w:color w:val="000000"/>
              </w:rPr>
              <w:t xml:space="preserve">AMERICAS  </w:t>
            </w:r>
          </w:p>
        </w:tc>
      </w:tr>
      <w:tr w:rsidR="00A15373" w14:paraId="72005789"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20EAF" w14:textId="77777777" w:rsidR="00A15373" w:rsidRDefault="00A15373">
            <w:pPr>
              <w:rPr>
                <w:rFonts w:ascii="Calibri" w:hAnsi="Calibri" w:cs="Calibri"/>
                <w:color w:val="000000"/>
              </w:rPr>
            </w:pPr>
            <w:r>
              <w:rPr>
                <w:rFonts w:ascii="Calibri" w:hAnsi="Calibri" w:cs="Calibri"/>
                <w:color w:val="000000"/>
              </w:rPr>
              <w:t>S&amp;P 500 Index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A4BBA" w14:textId="77777777" w:rsidR="00A15373" w:rsidRDefault="00A15373">
            <w:pPr>
              <w:jc w:val="right"/>
              <w:rPr>
                <w:rFonts w:ascii="Calibri" w:hAnsi="Calibri" w:cs="Calibri"/>
                <w:color w:val="000000"/>
              </w:rPr>
            </w:pPr>
            <w:r>
              <w:rPr>
                <w:rFonts w:ascii="Calibri" w:hAnsi="Calibri" w:cs="Calibri"/>
                <w:color w:val="000000"/>
              </w:rPr>
              <w:t>4500.53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681DF3" w14:textId="77777777" w:rsidR="00A15373" w:rsidRDefault="00A15373">
            <w:pPr>
              <w:jc w:val="right"/>
              <w:rPr>
                <w:rFonts w:ascii="Calibri" w:hAnsi="Calibri" w:cs="Calibri"/>
                <w:color w:val="000000"/>
              </w:rPr>
            </w:pPr>
            <w:r>
              <w:rPr>
                <w:rFonts w:ascii="Calibri" w:hAnsi="Calibri" w:cs="Calibri"/>
                <w:color w:val="000000"/>
              </w:rPr>
              <w:t>1.550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1C507" w14:textId="77777777" w:rsidR="00A15373" w:rsidRDefault="00A15373">
            <w:pPr>
              <w:jc w:val="right"/>
              <w:rPr>
                <w:rFonts w:ascii="Calibri" w:hAnsi="Calibri" w:cs="Calibri"/>
                <w:color w:val="000000"/>
              </w:rPr>
            </w:pPr>
            <w:r>
              <w:rPr>
                <w:rFonts w:ascii="Calibri" w:hAnsi="Calibri" w:cs="Calibri"/>
                <w:color w:val="000000"/>
              </w:rPr>
              <w:t>-5.5736</w:t>
            </w:r>
          </w:p>
        </w:tc>
      </w:tr>
      <w:tr w:rsidR="00A15373" w14:paraId="1799AFC6"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B133D" w14:textId="77777777" w:rsidR="00A15373" w:rsidRDefault="00A15373">
            <w:pPr>
              <w:rPr>
                <w:rFonts w:ascii="Calibri" w:hAnsi="Calibri" w:cs="Calibri"/>
                <w:color w:val="000000"/>
              </w:rPr>
            </w:pPr>
            <w:r>
              <w:rPr>
                <w:rFonts w:ascii="Calibri" w:hAnsi="Calibri" w:cs="Calibri"/>
                <w:color w:val="000000"/>
              </w:rPr>
              <w:t>DOW JONES INDUS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8DD75D" w14:textId="77777777" w:rsidR="00A15373" w:rsidRDefault="00A15373">
            <w:pPr>
              <w:jc w:val="right"/>
              <w:rPr>
                <w:rFonts w:ascii="Calibri" w:hAnsi="Calibri" w:cs="Calibri"/>
                <w:color w:val="000000"/>
              </w:rPr>
            </w:pPr>
            <w:r>
              <w:rPr>
                <w:rFonts w:ascii="Calibri" w:hAnsi="Calibri" w:cs="Calibri"/>
                <w:color w:val="000000"/>
              </w:rPr>
              <w:t>35089.74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8BDA35" w14:textId="77777777" w:rsidR="00A15373" w:rsidRDefault="00A15373">
            <w:pPr>
              <w:jc w:val="right"/>
              <w:rPr>
                <w:rFonts w:ascii="Calibri" w:hAnsi="Calibri" w:cs="Calibri"/>
                <w:color w:val="000000"/>
              </w:rPr>
            </w:pPr>
            <w:r>
              <w:rPr>
                <w:rFonts w:ascii="Calibri" w:hAnsi="Calibri" w:cs="Calibri"/>
                <w:color w:val="000000"/>
              </w:rPr>
              <w:t>1.049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F11C7" w14:textId="77777777" w:rsidR="00A15373" w:rsidRDefault="00A15373">
            <w:pPr>
              <w:jc w:val="right"/>
              <w:rPr>
                <w:rFonts w:ascii="Calibri" w:hAnsi="Calibri" w:cs="Calibri"/>
                <w:color w:val="000000"/>
              </w:rPr>
            </w:pPr>
            <w:r>
              <w:rPr>
                <w:rFonts w:ascii="Calibri" w:hAnsi="Calibri" w:cs="Calibri"/>
                <w:color w:val="000000"/>
              </w:rPr>
              <w:t>-3.4359</w:t>
            </w:r>
          </w:p>
        </w:tc>
      </w:tr>
      <w:tr w:rsidR="00A15373" w14:paraId="3B211704"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90668" w14:textId="77777777" w:rsidR="00A15373" w:rsidRDefault="00A15373">
            <w:pPr>
              <w:rPr>
                <w:rFonts w:ascii="Calibri" w:hAnsi="Calibri" w:cs="Calibri"/>
                <w:color w:val="000000"/>
              </w:rPr>
            </w:pPr>
            <w:r>
              <w:rPr>
                <w:rFonts w:ascii="Calibri" w:hAnsi="Calibri" w:cs="Calibri"/>
                <w:color w:val="000000"/>
              </w:rPr>
              <w:t>NASDAQ COMP INDX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77CEEC" w14:textId="77777777" w:rsidR="00A15373" w:rsidRDefault="00A15373">
            <w:pPr>
              <w:jc w:val="right"/>
              <w:rPr>
                <w:rFonts w:ascii="Calibri" w:hAnsi="Calibri" w:cs="Calibri"/>
                <w:color w:val="000000"/>
              </w:rPr>
            </w:pPr>
            <w:r>
              <w:rPr>
                <w:rFonts w:ascii="Calibri" w:hAnsi="Calibri" w:cs="Calibri"/>
                <w:color w:val="000000"/>
              </w:rPr>
              <w:t>14098.01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A1969" w14:textId="77777777" w:rsidR="00A15373" w:rsidRDefault="00A15373">
            <w:pPr>
              <w:jc w:val="right"/>
              <w:rPr>
                <w:rFonts w:ascii="Calibri" w:hAnsi="Calibri" w:cs="Calibri"/>
                <w:color w:val="000000"/>
              </w:rPr>
            </w:pPr>
            <w:r>
              <w:rPr>
                <w:rFonts w:ascii="Calibri" w:hAnsi="Calibri" w:cs="Calibri"/>
                <w:color w:val="000000"/>
              </w:rPr>
              <w:t>2.378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BDBDA4" w14:textId="77777777" w:rsidR="00A15373" w:rsidRDefault="00A15373">
            <w:pPr>
              <w:jc w:val="right"/>
              <w:rPr>
                <w:rFonts w:ascii="Calibri" w:hAnsi="Calibri" w:cs="Calibri"/>
                <w:color w:val="000000"/>
              </w:rPr>
            </w:pPr>
            <w:r>
              <w:rPr>
                <w:rFonts w:ascii="Calibri" w:hAnsi="Calibri" w:cs="Calibri"/>
                <w:color w:val="000000"/>
              </w:rPr>
              <w:t>-9.8879</w:t>
            </w:r>
          </w:p>
        </w:tc>
      </w:tr>
      <w:tr w:rsidR="00A15373" w14:paraId="73647502" w14:textId="77777777" w:rsidTr="00A15373">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FAC090"/>
            <w:noWrap/>
            <w:tcMar>
              <w:top w:w="15" w:type="dxa"/>
              <w:left w:w="15" w:type="dxa"/>
              <w:bottom w:w="0" w:type="dxa"/>
              <w:right w:w="15" w:type="dxa"/>
            </w:tcMar>
            <w:vAlign w:val="bottom"/>
            <w:hideMark/>
          </w:tcPr>
          <w:p w14:paraId="7F7CD781" w14:textId="77777777" w:rsidR="00A15373" w:rsidRDefault="00A15373">
            <w:pPr>
              <w:rPr>
                <w:rFonts w:ascii="Calibri" w:hAnsi="Calibri" w:cs="Calibri"/>
                <w:b/>
                <w:bCs/>
                <w:color w:val="000000"/>
              </w:rPr>
            </w:pPr>
            <w:r>
              <w:rPr>
                <w:rFonts w:ascii="Calibri" w:hAnsi="Calibri" w:cs="Calibri"/>
                <w:b/>
                <w:bCs/>
                <w:color w:val="000000"/>
              </w:rPr>
              <w:t xml:space="preserve">EMEA </w:t>
            </w:r>
          </w:p>
        </w:tc>
      </w:tr>
      <w:tr w:rsidR="00A15373" w14:paraId="12C5E1E8"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9C562" w14:textId="77777777" w:rsidR="00A15373" w:rsidRDefault="00A15373">
            <w:pPr>
              <w:rPr>
                <w:rFonts w:ascii="Calibri" w:hAnsi="Calibri" w:cs="Calibri"/>
                <w:color w:val="000000"/>
              </w:rPr>
            </w:pPr>
            <w:r>
              <w:rPr>
                <w:rFonts w:ascii="Calibri" w:hAnsi="Calibri" w:cs="Calibri"/>
                <w:color w:val="000000"/>
              </w:rPr>
              <w:t>Euro Stoxx 50 Pr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643F3" w14:textId="77777777" w:rsidR="00A15373" w:rsidRDefault="00A15373">
            <w:pPr>
              <w:jc w:val="right"/>
              <w:rPr>
                <w:rFonts w:ascii="Calibri" w:hAnsi="Calibri" w:cs="Calibri"/>
                <w:color w:val="000000"/>
              </w:rPr>
            </w:pPr>
            <w:r>
              <w:rPr>
                <w:rFonts w:ascii="Calibri" w:hAnsi="Calibri" w:cs="Calibri"/>
                <w:color w:val="000000"/>
              </w:rPr>
              <w:t>4086.58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9AB28" w14:textId="77777777" w:rsidR="00A15373" w:rsidRDefault="00A15373">
            <w:pPr>
              <w:jc w:val="right"/>
              <w:rPr>
                <w:rFonts w:ascii="Calibri" w:hAnsi="Calibri" w:cs="Calibri"/>
                <w:color w:val="000000"/>
              </w:rPr>
            </w:pPr>
            <w:r>
              <w:rPr>
                <w:rFonts w:ascii="Calibri" w:hAnsi="Calibri" w:cs="Calibri"/>
                <w:color w:val="000000"/>
              </w:rPr>
              <w:t>-1.217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7C3F9" w14:textId="77777777" w:rsidR="00A15373" w:rsidRDefault="00A15373">
            <w:pPr>
              <w:jc w:val="right"/>
              <w:rPr>
                <w:rFonts w:ascii="Calibri" w:hAnsi="Calibri" w:cs="Calibri"/>
                <w:color w:val="000000"/>
              </w:rPr>
            </w:pPr>
            <w:r>
              <w:rPr>
                <w:rFonts w:ascii="Calibri" w:hAnsi="Calibri" w:cs="Calibri"/>
                <w:color w:val="000000"/>
              </w:rPr>
              <w:t>-4.9281</w:t>
            </w:r>
          </w:p>
        </w:tc>
      </w:tr>
      <w:tr w:rsidR="00A15373" w14:paraId="183564C3"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833F8" w14:textId="77777777" w:rsidR="00A15373" w:rsidRDefault="00A15373">
            <w:pPr>
              <w:rPr>
                <w:rFonts w:ascii="Calibri" w:hAnsi="Calibri" w:cs="Calibri"/>
                <w:color w:val="000000"/>
              </w:rPr>
            </w:pPr>
            <w:r>
              <w:rPr>
                <w:rFonts w:ascii="Calibri" w:hAnsi="Calibri" w:cs="Calibri"/>
                <w:color w:val="000000"/>
              </w:rPr>
              <w:t>STXE 600 (EUR) Pr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6E9982" w14:textId="77777777" w:rsidR="00A15373" w:rsidRDefault="00A15373">
            <w:pPr>
              <w:jc w:val="right"/>
              <w:rPr>
                <w:rFonts w:ascii="Calibri" w:hAnsi="Calibri" w:cs="Calibri"/>
                <w:color w:val="000000"/>
              </w:rPr>
            </w:pPr>
            <w:r>
              <w:rPr>
                <w:rFonts w:ascii="Calibri" w:hAnsi="Calibri" w:cs="Calibri"/>
                <w:color w:val="000000"/>
              </w:rPr>
              <w:t>462.15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3DB4E" w14:textId="77777777" w:rsidR="00A15373" w:rsidRDefault="00A15373">
            <w:pPr>
              <w:jc w:val="right"/>
              <w:rPr>
                <w:rFonts w:ascii="Calibri" w:hAnsi="Calibri" w:cs="Calibri"/>
                <w:color w:val="000000"/>
              </w:rPr>
            </w:pPr>
            <w:r>
              <w:rPr>
                <w:rFonts w:ascii="Calibri" w:hAnsi="Calibri" w:cs="Calibri"/>
                <w:color w:val="000000"/>
              </w:rPr>
              <w:t>-0.730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11953" w14:textId="77777777" w:rsidR="00A15373" w:rsidRDefault="00A15373">
            <w:pPr>
              <w:jc w:val="right"/>
              <w:rPr>
                <w:rFonts w:ascii="Calibri" w:hAnsi="Calibri" w:cs="Calibri"/>
                <w:color w:val="000000"/>
              </w:rPr>
            </w:pPr>
            <w:r>
              <w:rPr>
                <w:rFonts w:ascii="Calibri" w:hAnsi="Calibri" w:cs="Calibri"/>
                <w:color w:val="000000"/>
              </w:rPr>
              <w:t>462.15</w:t>
            </w:r>
          </w:p>
        </w:tc>
      </w:tr>
      <w:tr w:rsidR="00A15373" w14:paraId="4DED8DF3"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75DFC" w14:textId="77777777" w:rsidR="00A15373" w:rsidRDefault="00A15373">
            <w:pPr>
              <w:rPr>
                <w:rFonts w:ascii="Calibri" w:hAnsi="Calibri" w:cs="Calibri"/>
                <w:color w:val="000000"/>
              </w:rPr>
            </w:pPr>
            <w:r>
              <w:rPr>
                <w:rFonts w:ascii="Calibri" w:hAnsi="Calibri" w:cs="Calibri"/>
                <w:color w:val="000000"/>
              </w:rPr>
              <w:t>FTSE 100 INDEX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D81E3" w14:textId="77777777" w:rsidR="00A15373" w:rsidRDefault="00A15373">
            <w:pPr>
              <w:jc w:val="right"/>
              <w:rPr>
                <w:rFonts w:ascii="Calibri" w:hAnsi="Calibri" w:cs="Calibri"/>
                <w:color w:val="000000"/>
              </w:rPr>
            </w:pPr>
            <w:r>
              <w:rPr>
                <w:rFonts w:ascii="Calibri" w:hAnsi="Calibri" w:cs="Calibri"/>
                <w:color w:val="000000"/>
              </w:rPr>
              <w:t>7516.4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CA62D" w14:textId="77777777" w:rsidR="00A15373" w:rsidRDefault="00A15373">
            <w:pPr>
              <w:jc w:val="right"/>
              <w:rPr>
                <w:rFonts w:ascii="Calibri" w:hAnsi="Calibri" w:cs="Calibri"/>
                <w:color w:val="000000"/>
              </w:rPr>
            </w:pPr>
            <w:r>
              <w:rPr>
                <w:rFonts w:ascii="Calibri" w:hAnsi="Calibri" w:cs="Calibri"/>
                <w:color w:val="000000"/>
              </w:rPr>
              <w:t>0.674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FD57B" w14:textId="77777777" w:rsidR="00A15373" w:rsidRDefault="00A15373">
            <w:pPr>
              <w:jc w:val="right"/>
              <w:rPr>
                <w:rFonts w:ascii="Calibri" w:hAnsi="Calibri" w:cs="Calibri"/>
                <w:color w:val="000000"/>
              </w:rPr>
            </w:pPr>
            <w:r>
              <w:rPr>
                <w:rFonts w:ascii="Calibri" w:hAnsi="Calibri" w:cs="Calibri"/>
                <w:color w:val="000000"/>
              </w:rPr>
              <w:t>1.7856</w:t>
            </w:r>
          </w:p>
        </w:tc>
      </w:tr>
      <w:tr w:rsidR="00A15373" w14:paraId="36F4207D"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6B7AF2" w14:textId="77777777" w:rsidR="00A15373" w:rsidRDefault="00A15373">
            <w:pPr>
              <w:rPr>
                <w:rFonts w:ascii="Calibri" w:hAnsi="Calibri" w:cs="Calibri"/>
                <w:color w:val="000000"/>
              </w:rPr>
            </w:pPr>
            <w:r>
              <w:rPr>
                <w:rFonts w:ascii="Calibri" w:hAnsi="Calibri" w:cs="Calibri"/>
                <w:color w:val="000000"/>
              </w:rPr>
              <w:t>CAC 40 INDEX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85D53" w14:textId="77777777" w:rsidR="00A15373" w:rsidRDefault="00A15373">
            <w:pPr>
              <w:jc w:val="right"/>
              <w:rPr>
                <w:rFonts w:ascii="Calibri" w:hAnsi="Calibri" w:cs="Calibri"/>
                <w:color w:val="000000"/>
              </w:rPr>
            </w:pPr>
            <w:r>
              <w:rPr>
                <w:rFonts w:ascii="Calibri" w:hAnsi="Calibri" w:cs="Calibri"/>
                <w:color w:val="000000"/>
              </w:rPr>
              <w:t>6951.38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0F099" w14:textId="77777777" w:rsidR="00A15373" w:rsidRDefault="00A15373">
            <w:pPr>
              <w:jc w:val="right"/>
              <w:rPr>
                <w:rFonts w:ascii="Calibri" w:hAnsi="Calibri" w:cs="Calibri"/>
                <w:color w:val="000000"/>
              </w:rPr>
            </w:pPr>
            <w:r>
              <w:rPr>
                <w:rFonts w:ascii="Calibri" w:hAnsi="Calibri" w:cs="Calibri"/>
                <w:color w:val="000000"/>
              </w:rPr>
              <w:t>-0.208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B074E" w14:textId="77777777" w:rsidR="00A15373" w:rsidRDefault="00A15373">
            <w:pPr>
              <w:jc w:val="right"/>
              <w:rPr>
                <w:rFonts w:ascii="Calibri" w:hAnsi="Calibri" w:cs="Calibri"/>
                <w:color w:val="000000"/>
              </w:rPr>
            </w:pPr>
            <w:r>
              <w:rPr>
                <w:rFonts w:ascii="Calibri" w:hAnsi="Calibri" w:cs="Calibri"/>
                <w:color w:val="000000"/>
              </w:rPr>
              <w:t>-2.8191</w:t>
            </w:r>
          </w:p>
        </w:tc>
      </w:tr>
      <w:tr w:rsidR="00A15373" w14:paraId="02C8128B"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8F3D7E" w14:textId="77777777" w:rsidR="00A15373" w:rsidRDefault="00A15373">
            <w:pPr>
              <w:rPr>
                <w:rFonts w:ascii="Calibri" w:hAnsi="Calibri" w:cs="Calibri"/>
                <w:color w:val="000000"/>
              </w:rPr>
            </w:pPr>
            <w:r>
              <w:rPr>
                <w:rFonts w:ascii="Calibri" w:hAnsi="Calibri" w:cs="Calibri"/>
                <w:color w:val="000000"/>
              </w:rPr>
              <w:t>DAX INDEX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6DBB2" w14:textId="77777777" w:rsidR="00A15373" w:rsidRDefault="00A15373">
            <w:pPr>
              <w:jc w:val="right"/>
              <w:rPr>
                <w:rFonts w:ascii="Calibri" w:hAnsi="Calibri" w:cs="Calibri"/>
                <w:color w:val="000000"/>
              </w:rPr>
            </w:pPr>
            <w:r>
              <w:rPr>
                <w:rFonts w:ascii="Calibri" w:hAnsi="Calibri" w:cs="Calibri"/>
                <w:color w:val="000000"/>
              </w:rPr>
              <w:t>15099.56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971C19" w14:textId="77777777" w:rsidR="00A15373" w:rsidRDefault="00A15373">
            <w:pPr>
              <w:jc w:val="right"/>
              <w:rPr>
                <w:rFonts w:ascii="Calibri" w:hAnsi="Calibri" w:cs="Calibri"/>
                <w:color w:val="000000"/>
              </w:rPr>
            </w:pPr>
            <w:r>
              <w:rPr>
                <w:rFonts w:ascii="Calibri" w:hAnsi="Calibri" w:cs="Calibri"/>
                <w:color w:val="000000"/>
              </w:rPr>
              <w:t>-1.432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DBC28" w14:textId="77777777" w:rsidR="00A15373" w:rsidRDefault="00A15373">
            <w:pPr>
              <w:jc w:val="right"/>
              <w:rPr>
                <w:rFonts w:ascii="Calibri" w:hAnsi="Calibri" w:cs="Calibri"/>
                <w:color w:val="000000"/>
              </w:rPr>
            </w:pPr>
            <w:r>
              <w:rPr>
                <w:rFonts w:ascii="Calibri" w:hAnsi="Calibri" w:cs="Calibri"/>
                <w:color w:val="000000"/>
              </w:rPr>
              <w:t>-4.9437</w:t>
            </w:r>
          </w:p>
        </w:tc>
      </w:tr>
      <w:tr w:rsidR="00A15373" w14:paraId="324C2DA8"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C00F6" w14:textId="77777777" w:rsidR="00A15373" w:rsidRDefault="00A15373">
            <w:pPr>
              <w:rPr>
                <w:rFonts w:ascii="Calibri" w:hAnsi="Calibri" w:cs="Calibri"/>
                <w:color w:val="000000"/>
              </w:rPr>
            </w:pPr>
            <w:r>
              <w:rPr>
                <w:rFonts w:ascii="Calibri" w:hAnsi="Calibri" w:cs="Calibri"/>
                <w:color w:val="000000"/>
              </w:rPr>
              <w:t>IBEX 35 INDEX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DCC7D" w14:textId="77777777" w:rsidR="00A15373" w:rsidRDefault="00A15373">
            <w:pPr>
              <w:jc w:val="right"/>
              <w:rPr>
                <w:rFonts w:ascii="Calibri" w:hAnsi="Calibri" w:cs="Calibri"/>
                <w:color w:val="000000"/>
              </w:rPr>
            </w:pPr>
            <w:r>
              <w:rPr>
                <w:rFonts w:ascii="Calibri" w:hAnsi="Calibri" w:cs="Calibri"/>
                <w:color w:val="000000"/>
              </w:rPr>
              <w:t>8589.3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AB034" w14:textId="77777777" w:rsidR="00A15373" w:rsidRDefault="00A15373">
            <w:pPr>
              <w:jc w:val="right"/>
              <w:rPr>
                <w:rFonts w:ascii="Calibri" w:hAnsi="Calibri" w:cs="Calibri"/>
                <w:color w:val="000000"/>
              </w:rPr>
            </w:pPr>
            <w:r>
              <w:rPr>
                <w:rFonts w:ascii="Calibri" w:hAnsi="Calibri" w:cs="Calibri"/>
                <w:color w:val="000000"/>
              </w:rPr>
              <w:t>-0.238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A677BB" w14:textId="77777777" w:rsidR="00A15373" w:rsidRDefault="00A15373">
            <w:pPr>
              <w:jc w:val="right"/>
              <w:rPr>
                <w:rFonts w:ascii="Calibri" w:hAnsi="Calibri" w:cs="Calibri"/>
                <w:color w:val="000000"/>
              </w:rPr>
            </w:pPr>
            <w:r>
              <w:rPr>
                <w:rFonts w:ascii="Calibri" w:hAnsi="Calibri" w:cs="Calibri"/>
                <w:color w:val="000000"/>
              </w:rPr>
              <w:t>-1.4288</w:t>
            </w:r>
          </w:p>
        </w:tc>
      </w:tr>
      <w:tr w:rsidR="00A15373" w14:paraId="0EB802BC"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04F03" w14:textId="77777777" w:rsidR="00A15373" w:rsidRDefault="00A15373">
            <w:pPr>
              <w:rPr>
                <w:rFonts w:ascii="Calibri" w:hAnsi="Calibri" w:cs="Calibri"/>
                <w:color w:val="000000"/>
              </w:rPr>
            </w:pPr>
            <w:r>
              <w:rPr>
                <w:rFonts w:ascii="Calibri" w:hAnsi="Calibri" w:cs="Calibri"/>
                <w:color w:val="000000"/>
              </w:rPr>
              <w:t>UAE AD INDEX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3FCC8" w14:textId="77777777" w:rsidR="00A15373" w:rsidRDefault="00A15373">
            <w:pPr>
              <w:jc w:val="right"/>
              <w:rPr>
                <w:rFonts w:ascii="Calibri" w:hAnsi="Calibri" w:cs="Calibri"/>
                <w:color w:val="000000"/>
              </w:rPr>
            </w:pPr>
            <w:r>
              <w:rPr>
                <w:rFonts w:ascii="Calibri" w:hAnsi="Calibri" w:cs="Calibri"/>
                <w:color w:val="000000"/>
              </w:rPr>
              <w:t>8732.92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E56490" w14:textId="77777777" w:rsidR="00A15373" w:rsidRDefault="00A15373">
            <w:pPr>
              <w:jc w:val="right"/>
              <w:rPr>
                <w:rFonts w:ascii="Calibri" w:hAnsi="Calibri" w:cs="Calibri"/>
                <w:color w:val="000000"/>
              </w:rPr>
            </w:pPr>
            <w:r>
              <w:rPr>
                <w:rFonts w:ascii="Calibri" w:hAnsi="Calibri" w:cs="Calibri"/>
                <w:color w:val="000000"/>
              </w:rPr>
              <w:t>-0.379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FD556" w14:textId="77777777" w:rsidR="00A15373" w:rsidRDefault="00A15373">
            <w:pPr>
              <w:jc w:val="right"/>
              <w:rPr>
                <w:rFonts w:ascii="Calibri" w:hAnsi="Calibri" w:cs="Calibri"/>
                <w:color w:val="000000"/>
              </w:rPr>
            </w:pPr>
            <w:r>
              <w:rPr>
                <w:rFonts w:ascii="Calibri" w:hAnsi="Calibri" w:cs="Calibri"/>
                <w:color w:val="000000"/>
              </w:rPr>
              <w:t>2.8811</w:t>
            </w:r>
          </w:p>
        </w:tc>
      </w:tr>
      <w:tr w:rsidR="00A15373" w14:paraId="4162B577"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DAC81" w14:textId="77777777" w:rsidR="00A15373" w:rsidRDefault="00A15373">
            <w:pPr>
              <w:rPr>
                <w:rFonts w:ascii="Calibri" w:hAnsi="Calibri" w:cs="Calibri"/>
                <w:color w:val="000000"/>
              </w:rPr>
            </w:pPr>
            <w:r>
              <w:rPr>
                <w:rFonts w:ascii="Calibri" w:hAnsi="Calibri" w:cs="Calibri"/>
                <w:color w:val="000000"/>
              </w:rPr>
              <w:t>EGYPT HERMES INDEX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FB244" w14:textId="77777777" w:rsidR="00A15373" w:rsidRDefault="00A15373">
            <w:pPr>
              <w:jc w:val="right"/>
              <w:rPr>
                <w:rFonts w:ascii="Calibri" w:hAnsi="Calibri" w:cs="Calibri"/>
                <w:color w:val="000000"/>
              </w:rPr>
            </w:pPr>
            <w:r>
              <w:rPr>
                <w:rFonts w:ascii="Calibri" w:hAnsi="Calibri" w:cs="Calibri"/>
                <w:color w:val="000000"/>
              </w:rPr>
              <w:t>1249.313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C6E001" w14:textId="77777777" w:rsidR="00A15373" w:rsidRDefault="00A15373">
            <w:pPr>
              <w:jc w:val="right"/>
              <w:rPr>
                <w:rFonts w:ascii="Calibri" w:hAnsi="Calibri" w:cs="Calibri"/>
                <w:color w:val="000000"/>
              </w:rPr>
            </w:pPr>
            <w:r>
              <w:rPr>
                <w:rFonts w:ascii="Calibri" w:hAnsi="Calibri" w:cs="Calibri"/>
                <w:color w:val="000000"/>
              </w:rPr>
              <w:t>1.528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C3F3D" w14:textId="77777777" w:rsidR="00A15373" w:rsidRDefault="00A15373">
            <w:pPr>
              <w:jc w:val="right"/>
              <w:rPr>
                <w:rFonts w:ascii="Calibri" w:hAnsi="Calibri" w:cs="Calibri"/>
                <w:color w:val="000000"/>
              </w:rPr>
            </w:pPr>
            <w:r>
              <w:rPr>
                <w:rFonts w:ascii="Calibri" w:hAnsi="Calibri" w:cs="Calibri"/>
                <w:color w:val="000000"/>
              </w:rPr>
              <w:t>-2.4054</w:t>
            </w:r>
          </w:p>
        </w:tc>
      </w:tr>
      <w:tr w:rsidR="00A15373" w14:paraId="247EE1A9"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879D0" w14:textId="77777777" w:rsidR="00A15373" w:rsidRDefault="00A15373">
            <w:pPr>
              <w:rPr>
                <w:rFonts w:ascii="Calibri" w:hAnsi="Calibri" w:cs="Calibri"/>
                <w:color w:val="000000"/>
              </w:rPr>
            </w:pPr>
            <w:r>
              <w:rPr>
                <w:rFonts w:ascii="Calibri" w:hAnsi="Calibri" w:cs="Calibri"/>
                <w:color w:val="000000"/>
              </w:rPr>
              <w:t>TADAWUL INDEX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5E366" w14:textId="77777777" w:rsidR="00A15373" w:rsidRDefault="00A15373">
            <w:pPr>
              <w:jc w:val="right"/>
              <w:rPr>
                <w:rFonts w:ascii="Calibri" w:hAnsi="Calibri" w:cs="Calibri"/>
                <w:color w:val="000000"/>
              </w:rPr>
            </w:pPr>
            <w:r>
              <w:rPr>
                <w:rFonts w:ascii="Calibri" w:hAnsi="Calibri" w:cs="Calibri"/>
                <w:color w:val="000000"/>
              </w:rPr>
              <w:t>12142.38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19ACB" w14:textId="77777777" w:rsidR="00A15373" w:rsidRDefault="00A15373">
            <w:pPr>
              <w:jc w:val="right"/>
              <w:rPr>
                <w:rFonts w:ascii="Calibri" w:hAnsi="Calibri" w:cs="Calibri"/>
                <w:color w:val="000000"/>
              </w:rPr>
            </w:pPr>
            <w:r>
              <w:rPr>
                <w:rFonts w:ascii="Calibri" w:hAnsi="Calibri" w:cs="Calibri"/>
                <w:color w:val="000000"/>
              </w:rPr>
              <w:t>-0.303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8C4D50" w14:textId="77777777" w:rsidR="00A15373" w:rsidRDefault="00A15373">
            <w:pPr>
              <w:jc w:val="right"/>
              <w:rPr>
                <w:rFonts w:ascii="Calibri" w:hAnsi="Calibri" w:cs="Calibri"/>
                <w:color w:val="000000"/>
              </w:rPr>
            </w:pPr>
            <w:r>
              <w:rPr>
                <w:rFonts w:ascii="Calibri" w:hAnsi="Calibri" w:cs="Calibri"/>
                <w:color w:val="000000"/>
              </w:rPr>
              <w:t>7.6289</w:t>
            </w:r>
          </w:p>
        </w:tc>
      </w:tr>
      <w:tr w:rsidR="00A15373" w14:paraId="546C5C55" w14:textId="77777777" w:rsidTr="00A15373">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FAC090"/>
            <w:noWrap/>
            <w:tcMar>
              <w:top w:w="15" w:type="dxa"/>
              <w:left w:w="15" w:type="dxa"/>
              <w:bottom w:w="0" w:type="dxa"/>
              <w:right w:w="15" w:type="dxa"/>
            </w:tcMar>
            <w:vAlign w:val="bottom"/>
            <w:hideMark/>
          </w:tcPr>
          <w:p w14:paraId="32A3E3F1" w14:textId="77777777" w:rsidR="00A15373" w:rsidRDefault="00A15373">
            <w:pPr>
              <w:rPr>
                <w:rFonts w:ascii="Calibri" w:hAnsi="Calibri" w:cs="Calibri"/>
                <w:b/>
                <w:bCs/>
                <w:color w:val="000000"/>
              </w:rPr>
            </w:pPr>
            <w:r>
              <w:rPr>
                <w:rFonts w:ascii="Calibri" w:hAnsi="Calibri" w:cs="Calibri"/>
                <w:b/>
                <w:bCs/>
                <w:color w:val="000000"/>
              </w:rPr>
              <w:t xml:space="preserve">ASIA/PACIFIC </w:t>
            </w:r>
          </w:p>
        </w:tc>
      </w:tr>
      <w:tr w:rsidR="00A15373" w14:paraId="6A829B21"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F032B" w14:textId="77777777" w:rsidR="00A15373" w:rsidRDefault="00A15373">
            <w:pPr>
              <w:rPr>
                <w:rFonts w:ascii="Calibri" w:hAnsi="Calibri" w:cs="Calibri"/>
                <w:color w:val="000000"/>
              </w:rPr>
            </w:pPr>
            <w:r>
              <w:rPr>
                <w:rFonts w:ascii="Calibri" w:hAnsi="Calibri" w:cs="Calibri"/>
                <w:color w:val="000000"/>
              </w:rPr>
              <w:t>NIKKEI 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95DBE" w14:textId="77777777" w:rsidR="00A15373" w:rsidRDefault="00A15373">
            <w:pPr>
              <w:jc w:val="right"/>
              <w:rPr>
                <w:rFonts w:ascii="Calibri" w:hAnsi="Calibri" w:cs="Calibri"/>
                <w:color w:val="000000"/>
              </w:rPr>
            </w:pPr>
            <w:r>
              <w:rPr>
                <w:rFonts w:ascii="Calibri" w:hAnsi="Calibri" w:cs="Calibri"/>
                <w:color w:val="000000"/>
              </w:rPr>
              <w:t>27439.99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1E02B0" w14:textId="77777777" w:rsidR="00A15373" w:rsidRDefault="00A15373">
            <w:pPr>
              <w:jc w:val="right"/>
              <w:rPr>
                <w:rFonts w:ascii="Calibri" w:hAnsi="Calibri" w:cs="Calibri"/>
                <w:color w:val="000000"/>
              </w:rPr>
            </w:pPr>
            <w:r>
              <w:rPr>
                <w:rFonts w:ascii="Calibri" w:hAnsi="Calibri" w:cs="Calibri"/>
                <w:color w:val="000000"/>
              </w:rPr>
              <w:t>2.705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9EA69" w14:textId="77777777" w:rsidR="00A15373" w:rsidRDefault="00A15373">
            <w:pPr>
              <w:jc w:val="right"/>
              <w:rPr>
                <w:rFonts w:ascii="Calibri" w:hAnsi="Calibri" w:cs="Calibri"/>
                <w:color w:val="000000"/>
              </w:rPr>
            </w:pPr>
            <w:r>
              <w:rPr>
                <w:rFonts w:ascii="Calibri" w:hAnsi="Calibri" w:cs="Calibri"/>
                <w:color w:val="000000"/>
              </w:rPr>
              <w:t>-4.6948</w:t>
            </w:r>
          </w:p>
        </w:tc>
      </w:tr>
      <w:tr w:rsidR="00A15373" w14:paraId="09EEB360"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62ACA" w14:textId="77777777" w:rsidR="00A15373" w:rsidRDefault="00A15373">
            <w:pPr>
              <w:rPr>
                <w:rFonts w:ascii="Calibri" w:hAnsi="Calibri" w:cs="Calibri"/>
                <w:color w:val="000000"/>
              </w:rPr>
            </w:pPr>
            <w:r>
              <w:rPr>
                <w:rFonts w:ascii="Calibri" w:hAnsi="Calibri" w:cs="Calibri"/>
                <w:color w:val="000000"/>
              </w:rPr>
              <w:t>HANG SENG INDEX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44D24" w14:textId="77777777" w:rsidR="00A15373" w:rsidRDefault="00A15373">
            <w:pPr>
              <w:jc w:val="right"/>
              <w:rPr>
                <w:rFonts w:ascii="Calibri" w:hAnsi="Calibri" w:cs="Calibri"/>
                <w:color w:val="000000"/>
              </w:rPr>
            </w:pPr>
            <w:r>
              <w:rPr>
                <w:rFonts w:ascii="Calibri" w:hAnsi="Calibri" w:cs="Calibri"/>
                <w:color w:val="000000"/>
              </w:rPr>
              <w:t>24573.29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B03C0B" w14:textId="77777777" w:rsidR="00A15373" w:rsidRDefault="00A15373">
            <w:pPr>
              <w:jc w:val="right"/>
              <w:rPr>
                <w:rFonts w:ascii="Calibri" w:hAnsi="Calibri" w:cs="Calibri"/>
                <w:color w:val="000000"/>
              </w:rPr>
            </w:pPr>
            <w:r>
              <w:rPr>
                <w:rFonts w:ascii="Calibri" w:hAnsi="Calibri" w:cs="Calibri"/>
                <w:color w:val="000000"/>
              </w:rPr>
              <w:t>1.360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FC1CEE" w14:textId="77777777" w:rsidR="00A15373" w:rsidRDefault="00A15373">
            <w:pPr>
              <w:jc w:val="right"/>
              <w:rPr>
                <w:rFonts w:ascii="Calibri" w:hAnsi="Calibri" w:cs="Calibri"/>
                <w:color w:val="000000"/>
              </w:rPr>
            </w:pPr>
            <w:r>
              <w:rPr>
                <w:rFonts w:ascii="Calibri" w:hAnsi="Calibri" w:cs="Calibri"/>
                <w:color w:val="000000"/>
              </w:rPr>
              <w:t>5.0245</w:t>
            </w:r>
          </w:p>
        </w:tc>
      </w:tr>
      <w:tr w:rsidR="00A15373" w14:paraId="52846F74"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42658" w14:textId="77777777" w:rsidR="00A15373" w:rsidRDefault="00A15373">
            <w:pPr>
              <w:rPr>
                <w:rFonts w:ascii="Calibri" w:hAnsi="Calibri" w:cs="Calibri"/>
                <w:color w:val="000000"/>
              </w:rPr>
            </w:pPr>
            <w:r>
              <w:rPr>
                <w:rFonts w:ascii="Calibri" w:hAnsi="Calibri" w:cs="Calibri"/>
                <w:color w:val="000000"/>
              </w:rPr>
              <w:t>S&amp;P/ASX 200 INDEX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1FC7DA" w14:textId="77777777" w:rsidR="00A15373" w:rsidRDefault="00A15373">
            <w:pPr>
              <w:jc w:val="right"/>
              <w:rPr>
                <w:rFonts w:ascii="Calibri" w:hAnsi="Calibri" w:cs="Calibri"/>
                <w:color w:val="000000"/>
              </w:rPr>
            </w:pPr>
            <w:r>
              <w:rPr>
                <w:rFonts w:ascii="Calibri" w:hAnsi="Calibri" w:cs="Calibri"/>
                <w:color w:val="000000"/>
              </w:rPr>
              <w:t>7120.212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2AD6A" w14:textId="77777777" w:rsidR="00A15373" w:rsidRDefault="00A15373">
            <w:pPr>
              <w:jc w:val="right"/>
              <w:rPr>
                <w:rFonts w:ascii="Calibri" w:hAnsi="Calibri" w:cs="Calibri"/>
                <w:color w:val="000000"/>
              </w:rPr>
            </w:pPr>
            <w:r>
              <w:rPr>
                <w:rFonts w:ascii="Calibri" w:hAnsi="Calibri" w:cs="Calibri"/>
                <w:color w:val="000000"/>
              </w:rPr>
              <w:t>1.890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3B6B1" w14:textId="77777777" w:rsidR="00A15373" w:rsidRDefault="00A15373">
            <w:pPr>
              <w:jc w:val="right"/>
              <w:rPr>
                <w:rFonts w:ascii="Calibri" w:hAnsi="Calibri" w:cs="Calibri"/>
                <w:color w:val="000000"/>
              </w:rPr>
            </w:pPr>
            <w:r>
              <w:rPr>
                <w:rFonts w:ascii="Calibri" w:hAnsi="Calibri" w:cs="Calibri"/>
                <w:color w:val="000000"/>
              </w:rPr>
              <w:t>-4.3579</w:t>
            </w:r>
          </w:p>
        </w:tc>
      </w:tr>
      <w:tr w:rsidR="00A15373" w14:paraId="00D3F2AD"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B49619" w14:textId="77777777" w:rsidR="00A15373" w:rsidRDefault="00A15373">
            <w:pPr>
              <w:rPr>
                <w:rFonts w:ascii="Calibri" w:hAnsi="Calibri" w:cs="Calibri"/>
                <w:color w:val="000000"/>
              </w:rPr>
            </w:pPr>
            <w:r>
              <w:rPr>
                <w:rFonts w:ascii="Calibri" w:hAnsi="Calibri" w:cs="Calibri"/>
                <w:color w:val="000000"/>
              </w:rPr>
              <w:t>SHANGHAI SE COMPOSITE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EF1892" w14:textId="77777777" w:rsidR="00A15373" w:rsidRDefault="00A15373">
            <w:pPr>
              <w:jc w:val="right"/>
              <w:rPr>
                <w:rFonts w:ascii="Calibri" w:hAnsi="Calibri" w:cs="Calibri"/>
                <w:color w:val="000000"/>
              </w:rPr>
            </w:pPr>
            <w:r>
              <w:rPr>
                <w:rFonts w:ascii="Calibri" w:hAnsi="Calibri" w:cs="Calibri"/>
                <w:color w:val="000000"/>
              </w:rPr>
              <w:t>3361.44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E6A90" w14:textId="77777777" w:rsidR="00A15373" w:rsidRDefault="00A15373">
            <w:pPr>
              <w:jc w:val="right"/>
              <w:rPr>
                <w:rFonts w:ascii="Calibri" w:hAnsi="Calibri" w:cs="Calibri"/>
                <w:color w:val="000000"/>
              </w:rPr>
            </w:pPr>
            <w:r>
              <w:rPr>
                <w:rFonts w:ascii="Calibri" w:hAnsi="Calibri" w:cs="Calibri"/>
                <w:color w:val="000000"/>
              </w:rPr>
              <w:t>-4.574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AE1C3" w14:textId="77777777" w:rsidR="00A15373" w:rsidRDefault="00A15373">
            <w:pPr>
              <w:jc w:val="right"/>
              <w:rPr>
                <w:rFonts w:ascii="Calibri" w:hAnsi="Calibri" w:cs="Calibri"/>
                <w:color w:val="000000"/>
              </w:rPr>
            </w:pPr>
            <w:r>
              <w:rPr>
                <w:rFonts w:ascii="Calibri" w:hAnsi="Calibri" w:cs="Calibri"/>
                <w:color w:val="000000"/>
              </w:rPr>
              <w:t>-7.647</w:t>
            </w:r>
          </w:p>
        </w:tc>
      </w:tr>
      <w:tr w:rsidR="00A15373" w14:paraId="0C1E0669" w14:textId="77777777" w:rsidTr="00A15373">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17BA3" w14:textId="77777777" w:rsidR="00A15373" w:rsidRDefault="00A15373">
            <w:pPr>
              <w:rPr>
                <w:rFonts w:ascii="Calibri" w:hAnsi="Calibri" w:cs="Calibri"/>
                <w:color w:val="000000"/>
              </w:rPr>
            </w:pPr>
            <w:r>
              <w:rPr>
                <w:rFonts w:ascii="Calibri" w:hAnsi="Calibri" w:cs="Calibri"/>
                <w:color w:val="000000"/>
              </w:rPr>
              <w:t>S&amp;P BSE SENSEX INDEX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0FD2C" w14:textId="77777777" w:rsidR="00A15373" w:rsidRDefault="00A15373">
            <w:pPr>
              <w:jc w:val="right"/>
              <w:rPr>
                <w:rFonts w:ascii="Calibri" w:hAnsi="Calibri" w:cs="Calibri"/>
                <w:color w:val="000000"/>
              </w:rPr>
            </w:pPr>
            <w:r>
              <w:rPr>
                <w:rFonts w:ascii="Calibri" w:hAnsi="Calibri" w:cs="Calibri"/>
                <w:color w:val="000000"/>
              </w:rPr>
              <w:t>58644.82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D67F1" w14:textId="77777777" w:rsidR="00A15373" w:rsidRDefault="00A15373">
            <w:pPr>
              <w:jc w:val="right"/>
              <w:rPr>
                <w:rFonts w:ascii="Calibri" w:hAnsi="Calibri" w:cs="Calibri"/>
                <w:color w:val="000000"/>
              </w:rPr>
            </w:pPr>
            <w:r>
              <w:rPr>
                <w:rFonts w:ascii="Calibri" w:hAnsi="Calibri" w:cs="Calibri"/>
                <w:color w:val="000000"/>
              </w:rPr>
              <w:t>2.525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92BB1" w14:textId="77777777" w:rsidR="00A15373" w:rsidRDefault="00A15373">
            <w:pPr>
              <w:jc w:val="right"/>
              <w:rPr>
                <w:rFonts w:ascii="Calibri" w:hAnsi="Calibri" w:cs="Calibri"/>
                <w:color w:val="000000"/>
              </w:rPr>
            </w:pPr>
            <w:r>
              <w:rPr>
                <w:rFonts w:ascii="Calibri" w:hAnsi="Calibri" w:cs="Calibri"/>
                <w:color w:val="000000"/>
              </w:rPr>
              <w:t>0.6712</w:t>
            </w:r>
          </w:p>
        </w:tc>
      </w:tr>
    </w:tbl>
    <w:p w14:paraId="537841EA" w14:textId="76E8AD34" w:rsidR="00A15373" w:rsidRDefault="00A15373" w:rsidP="008E65FA">
      <w:pPr>
        <w:ind w:left="6480" w:firstLine="720"/>
      </w:pPr>
    </w:p>
    <w:p w14:paraId="57499388" w14:textId="3CADBB1F" w:rsidR="00A15373" w:rsidRDefault="00A15373" w:rsidP="008E65FA">
      <w:pPr>
        <w:ind w:left="6480" w:firstLine="720"/>
      </w:pPr>
    </w:p>
    <w:p w14:paraId="6FF0719F" w14:textId="77777777" w:rsidR="00A15373" w:rsidRDefault="00A15373" w:rsidP="008E65FA">
      <w:pPr>
        <w:ind w:left="6480" w:firstLine="720"/>
      </w:pPr>
    </w:p>
    <w:p w14:paraId="76C0BC45" w14:textId="088B1534" w:rsidR="008E65FA" w:rsidRDefault="00A15373" w:rsidP="00A15373">
      <w:pPr>
        <w:ind w:left="6480" w:firstLine="720"/>
      </w:pPr>
      <w:r>
        <w:rPr>
          <w:noProof/>
        </w:rPr>
        <w:lastRenderedPageBreak/>
        <w:drawing>
          <wp:inline distT="0" distB="0" distL="0" distR="0" wp14:anchorId="3BD1FDC6" wp14:editId="0201579F">
            <wp:extent cx="1981200" cy="457200"/>
            <wp:effectExtent l="0" t="0" r="0" b="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inline>
        </w:drawing>
      </w:r>
    </w:p>
    <w:p w14:paraId="5AB92656" w14:textId="0C0095CA" w:rsidR="00A15373" w:rsidRDefault="00A15373" w:rsidP="00A15373">
      <w:pPr>
        <w:ind w:left="6480" w:firstLine="720"/>
      </w:pPr>
    </w:p>
    <w:tbl>
      <w:tblPr>
        <w:tblW w:w="7560" w:type="dxa"/>
        <w:tblCellMar>
          <w:left w:w="0" w:type="dxa"/>
          <w:right w:w="0" w:type="dxa"/>
        </w:tblCellMar>
        <w:tblLook w:val="04A0" w:firstRow="1" w:lastRow="0" w:firstColumn="1" w:lastColumn="0" w:noHBand="0" w:noVBand="1"/>
      </w:tblPr>
      <w:tblGrid>
        <w:gridCol w:w="3980"/>
        <w:gridCol w:w="1017"/>
        <w:gridCol w:w="1193"/>
        <w:gridCol w:w="1370"/>
      </w:tblGrid>
      <w:tr w:rsidR="00A84BB7" w14:paraId="0C7A11EC" w14:textId="77777777" w:rsidTr="00A84BB7">
        <w:trPr>
          <w:trHeight w:val="300"/>
        </w:trPr>
        <w:tc>
          <w:tcPr>
            <w:tcW w:w="7560"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7A9DA2C3" w14:textId="77777777" w:rsidR="00A84BB7" w:rsidRDefault="00A84BB7">
            <w:pPr>
              <w:rPr>
                <w:rFonts w:ascii="Calibri" w:hAnsi="Calibri" w:cs="Calibri"/>
                <w:b/>
                <w:bCs/>
                <w:color w:val="000000"/>
              </w:rPr>
            </w:pPr>
            <w:r>
              <w:rPr>
                <w:rFonts w:ascii="Calibri" w:hAnsi="Calibri" w:cs="Calibri"/>
                <w:b/>
                <w:bCs/>
                <w:color w:val="000000"/>
              </w:rPr>
              <w:t>BONDS</w:t>
            </w:r>
          </w:p>
        </w:tc>
      </w:tr>
      <w:tr w:rsidR="00A84BB7" w14:paraId="37D16B27" w14:textId="77777777" w:rsidTr="00A84BB7">
        <w:trPr>
          <w:trHeight w:val="300"/>
        </w:trPr>
        <w:tc>
          <w:tcPr>
            <w:tcW w:w="0" w:type="auto"/>
            <w:gridSpan w:val="4"/>
            <w:tcBorders>
              <w:top w:val="nil"/>
              <w:left w:val="nil"/>
              <w:bottom w:val="nil"/>
              <w:right w:val="nil"/>
            </w:tcBorders>
            <w:shd w:val="clear" w:color="000000" w:fill="FAC090"/>
            <w:noWrap/>
            <w:tcMar>
              <w:top w:w="15" w:type="dxa"/>
              <w:left w:w="15" w:type="dxa"/>
              <w:bottom w:w="0" w:type="dxa"/>
              <w:right w:w="15" w:type="dxa"/>
            </w:tcMar>
            <w:vAlign w:val="bottom"/>
            <w:hideMark/>
          </w:tcPr>
          <w:p w14:paraId="420E409C" w14:textId="77777777" w:rsidR="00A84BB7" w:rsidRDefault="00A84BB7">
            <w:pPr>
              <w:rPr>
                <w:rFonts w:ascii="Calibri" w:hAnsi="Calibri" w:cs="Calibri"/>
                <w:b/>
                <w:bCs/>
                <w:color w:val="000000"/>
              </w:rPr>
            </w:pPr>
            <w:r>
              <w:rPr>
                <w:rFonts w:ascii="Calibri" w:hAnsi="Calibri" w:cs="Calibri"/>
                <w:b/>
                <w:bCs/>
                <w:color w:val="000000"/>
              </w:rPr>
              <w:t xml:space="preserve">US BENCHMARK  </w:t>
            </w:r>
          </w:p>
        </w:tc>
      </w:tr>
      <w:tr w:rsidR="00A84BB7" w14:paraId="6E6BE054" w14:textId="77777777" w:rsidTr="00A84BB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87FC5" w14:textId="77777777" w:rsidR="00A84BB7" w:rsidRDefault="00A84BB7">
            <w:pPr>
              <w:rPr>
                <w:rFonts w:ascii="Calibri" w:hAnsi="Calibri" w:cs="Calibri"/>
                <w:color w:val="000000"/>
              </w:rPr>
            </w:pPr>
            <w:r>
              <w:rPr>
                <w:rFonts w:ascii="Calibri" w:hAnsi="Calibri" w:cs="Calibri"/>
                <w:color w:val="000000"/>
              </w:rPr>
              <w:t>US 2 Year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AA924" w14:textId="77777777" w:rsidR="00A84BB7" w:rsidRDefault="00A84BB7">
            <w:pPr>
              <w:jc w:val="right"/>
              <w:rPr>
                <w:rFonts w:ascii="Calibri" w:hAnsi="Calibri" w:cs="Calibri"/>
                <w:color w:val="000000"/>
              </w:rPr>
            </w:pPr>
            <w:r>
              <w:rPr>
                <w:rFonts w:ascii="Calibri" w:hAnsi="Calibri" w:cs="Calibri"/>
                <w:color w:val="000000"/>
              </w:rPr>
              <w:t>1.3099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7BE98" w14:textId="77777777" w:rsidR="00A84BB7" w:rsidRDefault="00A84BB7">
            <w:pPr>
              <w:jc w:val="right"/>
              <w:rPr>
                <w:rFonts w:ascii="Calibri" w:hAnsi="Calibri" w:cs="Calibri"/>
                <w:color w:val="000000"/>
              </w:rPr>
            </w:pPr>
            <w:r>
              <w:rPr>
                <w:rFonts w:ascii="Calibri" w:hAnsi="Calibri" w:cs="Calibri"/>
                <w:color w:val="000000"/>
              </w:rPr>
              <w:t>12.699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79215" w14:textId="77777777" w:rsidR="00A84BB7" w:rsidRDefault="00A84BB7">
            <w:pPr>
              <w:jc w:val="right"/>
              <w:rPr>
                <w:rFonts w:ascii="Calibri" w:hAnsi="Calibri" w:cs="Calibri"/>
                <w:color w:val="000000"/>
              </w:rPr>
            </w:pPr>
            <w:r>
              <w:rPr>
                <w:rFonts w:ascii="Calibri" w:hAnsi="Calibri" w:cs="Calibri"/>
                <w:color w:val="000000"/>
              </w:rPr>
              <w:t>78.8992</w:t>
            </w:r>
          </w:p>
        </w:tc>
      </w:tr>
      <w:tr w:rsidR="00A84BB7" w14:paraId="15E3ADAB"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9F944" w14:textId="77777777" w:rsidR="00A84BB7" w:rsidRDefault="00A84BB7">
            <w:pPr>
              <w:rPr>
                <w:rFonts w:ascii="Calibri" w:hAnsi="Calibri" w:cs="Calibri"/>
                <w:color w:val="000000"/>
              </w:rPr>
            </w:pPr>
            <w:r>
              <w:rPr>
                <w:rFonts w:ascii="Calibri" w:hAnsi="Calibri" w:cs="Calibri"/>
                <w:color w:val="000000"/>
              </w:rPr>
              <w:t>US Generic Govt 5 Yr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2C7E32" w14:textId="77777777" w:rsidR="00A84BB7" w:rsidRDefault="00A84BB7">
            <w:pPr>
              <w:jc w:val="right"/>
              <w:rPr>
                <w:rFonts w:ascii="Calibri" w:hAnsi="Calibri" w:cs="Calibri"/>
                <w:color w:val="000000"/>
              </w:rPr>
            </w:pPr>
            <w:r>
              <w:rPr>
                <w:rFonts w:ascii="Calibri" w:hAnsi="Calibri" w:cs="Calibri"/>
                <w:color w:val="000000"/>
              </w:rPr>
              <w:t>1.7682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20B7F" w14:textId="77777777" w:rsidR="00A84BB7" w:rsidRDefault="00A84BB7">
            <w:pPr>
              <w:jc w:val="right"/>
              <w:rPr>
                <w:rFonts w:ascii="Calibri" w:hAnsi="Calibri" w:cs="Calibri"/>
                <w:color w:val="000000"/>
              </w:rPr>
            </w:pPr>
            <w:r>
              <w:rPr>
                <w:rFonts w:ascii="Calibri" w:hAnsi="Calibri" w:cs="Calibri"/>
                <w:color w:val="000000"/>
              </w:rPr>
              <w:t>9.6422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FDDFB" w14:textId="77777777" w:rsidR="00A84BB7" w:rsidRDefault="00A84BB7">
            <w:pPr>
              <w:jc w:val="right"/>
              <w:rPr>
                <w:rFonts w:ascii="Calibri" w:hAnsi="Calibri" w:cs="Calibri"/>
                <w:color w:val="000000"/>
              </w:rPr>
            </w:pPr>
            <w:r>
              <w:rPr>
                <w:rFonts w:ascii="Calibri" w:hAnsi="Calibri" w:cs="Calibri"/>
                <w:color w:val="000000"/>
              </w:rPr>
              <w:t>40</w:t>
            </w:r>
          </w:p>
        </w:tc>
      </w:tr>
      <w:tr w:rsidR="00A84BB7" w14:paraId="226F1A7C"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8A3789" w14:textId="77777777" w:rsidR="00A84BB7" w:rsidRDefault="00A84BB7">
            <w:pPr>
              <w:rPr>
                <w:rFonts w:ascii="Calibri" w:hAnsi="Calibri" w:cs="Calibri"/>
                <w:color w:val="000000"/>
              </w:rPr>
            </w:pPr>
            <w:r>
              <w:rPr>
                <w:rFonts w:ascii="Calibri" w:hAnsi="Calibri" w:cs="Calibri"/>
                <w:color w:val="000000"/>
              </w:rPr>
              <w:t>US Generic Govt 10 Yr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816860" w14:textId="77777777" w:rsidR="00A84BB7" w:rsidRDefault="00A84BB7">
            <w:pPr>
              <w:jc w:val="right"/>
              <w:rPr>
                <w:rFonts w:ascii="Calibri" w:hAnsi="Calibri" w:cs="Calibri"/>
                <w:color w:val="000000"/>
              </w:rPr>
            </w:pPr>
            <w:r>
              <w:rPr>
                <w:rFonts w:ascii="Calibri" w:hAnsi="Calibri" w:cs="Calibri"/>
                <w:color w:val="000000"/>
              </w:rPr>
              <w:t>1.9085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DEA0B" w14:textId="77777777" w:rsidR="00A84BB7" w:rsidRDefault="00A84BB7">
            <w:pPr>
              <w:jc w:val="right"/>
              <w:rPr>
                <w:rFonts w:ascii="Calibri" w:hAnsi="Calibri" w:cs="Calibri"/>
                <w:color w:val="000000"/>
              </w:rPr>
            </w:pPr>
            <w:r>
              <w:rPr>
                <w:rFonts w:ascii="Calibri" w:hAnsi="Calibri" w:cs="Calibri"/>
                <w:color w:val="000000"/>
              </w:rPr>
              <w:t>7.8614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86031" w14:textId="77777777" w:rsidR="00A84BB7" w:rsidRDefault="00A84BB7">
            <w:pPr>
              <w:jc w:val="right"/>
              <w:rPr>
                <w:rFonts w:ascii="Calibri" w:hAnsi="Calibri" w:cs="Calibri"/>
                <w:color w:val="000000"/>
              </w:rPr>
            </w:pPr>
            <w:r>
              <w:rPr>
                <w:rFonts w:ascii="Calibri" w:hAnsi="Calibri" w:cs="Calibri"/>
                <w:color w:val="000000"/>
              </w:rPr>
              <w:t>26.3824</w:t>
            </w:r>
          </w:p>
        </w:tc>
      </w:tr>
      <w:tr w:rsidR="00A84BB7" w14:paraId="10E049BE" w14:textId="77777777" w:rsidTr="00A84BB7">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FAC090"/>
            <w:noWrap/>
            <w:tcMar>
              <w:top w:w="15" w:type="dxa"/>
              <w:left w:w="15" w:type="dxa"/>
              <w:bottom w:w="0" w:type="dxa"/>
              <w:right w:w="15" w:type="dxa"/>
            </w:tcMar>
            <w:vAlign w:val="bottom"/>
            <w:hideMark/>
          </w:tcPr>
          <w:p w14:paraId="1B57C2FE" w14:textId="77777777" w:rsidR="00A84BB7" w:rsidRDefault="00A84BB7">
            <w:pPr>
              <w:rPr>
                <w:rFonts w:ascii="Calibri" w:hAnsi="Calibri" w:cs="Calibri"/>
                <w:b/>
                <w:bCs/>
                <w:color w:val="000000"/>
              </w:rPr>
            </w:pPr>
            <w:r>
              <w:rPr>
                <w:rFonts w:ascii="Calibri" w:hAnsi="Calibri" w:cs="Calibri"/>
                <w:b/>
                <w:bCs/>
                <w:color w:val="000000"/>
              </w:rPr>
              <w:t xml:space="preserve">UK BENCHMARK  </w:t>
            </w:r>
          </w:p>
        </w:tc>
      </w:tr>
      <w:tr w:rsidR="00A84BB7" w14:paraId="22B7F0CA"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9ABBC" w14:textId="77777777" w:rsidR="00A84BB7" w:rsidRDefault="00A84BB7">
            <w:pPr>
              <w:rPr>
                <w:rFonts w:ascii="Calibri" w:hAnsi="Calibri" w:cs="Calibri"/>
                <w:color w:val="000000"/>
              </w:rPr>
            </w:pPr>
            <w:r>
              <w:rPr>
                <w:rFonts w:ascii="Calibri" w:hAnsi="Calibri" w:cs="Calibri"/>
                <w:color w:val="000000"/>
              </w:rPr>
              <w:t>UK Gilts 2 Year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DF721" w14:textId="77777777" w:rsidR="00A84BB7" w:rsidRDefault="00A84BB7">
            <w:pPr>
              <w:jc w:val="right"/>
              <w:rPr>
                <w:rFonts w:ascii="Calibri" w:hAnsi="Calibri" w:cs="Calibri"/>
                <w:color w:val="000000"/>
              </w:rPr>
            </w:pPr>
            <w:r>
              <w:rPr>
                <w:rFonts w:ascii="Calibri" w:hAnsi="Calibri" w:cs="Calibri"/>
                <w:color w:val="000000"/>
              </w:rPr>
              <w:t>1.262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E90CB" w14:textId="77777777" w:rsidR="00A84BB7" w:rsidRDefault="00A84BB7">
            <w:pPr>
              <w:jc w:val="right"/>
              <w:rPr>
                <w:rFonts w:ascii="Calibri" w:hAnsi="Calibri" w:cs="Calibri"/>
                <w:color w:val="000000"/>
              </w:rPr>
            </w:pPr>
            <w:r>
              <w:rPr>
                <w:rFonts w:ascii="Calibri" w:hAnsi="Calibri" w:cs="Calibri"/>
                <w:color w:val="000000"/>
              </w:rPr>
              <w:t>30.372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C5937C" w14:textId="77777777" w:rsidR="00A84BB7" w:rsidRDefault="00A84BB7">
            <w:pPr>
              <w:jc w:val="right"/>
              <w:rPr>
                <w:rFonts w:ascii="Calibri" w:hAnsi="Calibri" w:cs="Calibri"/>
                <w:color w:val="000000"/>
              </w:rPr>
            </w:pPr>
            <w:r>
              <w:rPr>
                <w:rFonts w:ascii="Calibri" w:hAnsi="Calibri" w:cs="Calibri"/>
                <w:color w:val="000000"/>
              </w:rPr>
              <w:t>83.6972</w:t>
            </w:r>
          </w:p>
        </w:tc>
      </w:tr>
      <w:tr w:rsidR="00A84BB7" w14:paraId="0D545F71"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D28B6" w14:textId="77777777" w:rsidR="00A84BB7" w:rsidRDefault="00A84BB7">
            <w:pPr>
              <w:rPr>
                <w:rFonts w:ascii="Calibri" w:hAnsi="Calibri" w:cs="Calibri"/>
                <w:color w:val="000000"/>
              </w:rPr>
            </w:pPr>
            <w:r>
              <w:rPr>
                <w:rFonts w:ascii="Calibri" w:hAnsi="Calibri" w:cs="Calibri"/>
                <w:color w:val="000000"/>
              </w:rPr>
              <w:t>UK Gilts 5 Year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F91D9" w14:textId="77777777" w:rsidR="00A84BB7" w:rsidRDefault="00A84BB7">
            <w:pPr>
              <w:jc w:val="right"/>
              <w:rPr>
                <w:rFonts w:ascii="Calibri" w:hAnsi="Calibri" w:cs="Calibri"/>
                <w:color w:val="000000"/>
              </w:rPr>
            </w:pPr>
            <w:r>
              <w:rPr>
                <w:rFonts w:ascii="Calibri" w:hAnsi="Calibri" w:cs="Calibri"/>
                <w:color w:val="000000"/>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B39D4" w14:textId="77777777" w:rsidR="00A84BB7" w:rsidRDefault="00A84BB7">
            <w:pPr>
              <w:jc w:val="right"/>
              <w:rPr>
                <w:rFonts w:ascii="Calibri" w:hAnsi="Calibri" w:cs="Calibri"/>
                <w:color w:val="000000"/>
              </w:rPr>
            </w:pPr>
            <w:r>
              <w:rPr>
                <w:rFonts w:ascii="Calibri" w:hAnsi="Calibri" w:cs="Calibri"/>
                <w:color w:val="000000"/>
              </w:rPr>
              <w:t>22.43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64791" w14:textId="77777777" w:rsidR="00A84BB7" w:rsidRDefault="00A84BB7">
            <w:pPr>
              <w:jc w:val="right"/>
              <w:rPr>
                <w:rFonts w:ascii="Calibri" w:hAnsi="Calibri" w:cs="Calibri"/>
                <w:color w:val="000000"/>
              </w:rPr>
            </w:pPr>
            <w:r>
              <w:rPr>
                <w:rFonts w:ascii="Calibri" w:hAnsi="Calibri" w:cs="Calibri"/>
                <w:color w:val="000000"/>
              </w:rPr>
              <w:t>59.7561</w:t>
            </w:r>
          </w:p>
        </w:tc>
      </w:tr>
      <w:tr w:rsidR="00A84BB7" w14:paraId="51EF1AC4"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E3CC0" w14:textId="77777777" w:rsidR="00A84BB7" w:rsidRDefault="00A84BB7">
            <w:pPr>
              <w:rPr>
                <w:rFonts w:ascii="Calibri" w:hAnsi="Calibri" w:cs="Calibri"/>
                <w:color w:val="000000"/>
              </w:rPr>
            </w:pPr>
            <w:r>
              <w:rPr>
                <w:rFonts w:ascii="Calibri" w:hAnsi="Calibri" w:cs="Calibri"/>
                <w:color w:val="000000"/>
              </w:rPr>
              <w:t>UK Gilts 10 Yr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D95A1" w14:textId="77777777" w:rsidR="00A84BB7" w:rsidRDefault="00A84BB7">
            <w:pPr>
              <w:jc w:val="right"/>
              <w:rPr>
                <w:rFonts w:ascii="Calibri" w:hAnsi="Calibri" w:cs="Calibri"/>
                <w:color w:val="000000"/>
              </w:rPr>
            </w:pPr>
            <w:r>
              <w:rPr>
                <w:rFonts w:ascii="Calibri" w:hAnsi="Calibri" w:cs="Calibri"/>
                <w:color w:val="000000"/>
              </w:rPr>
              <w:t>1.411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F1E8F9" w14:textId="77777777" w:rsidR="00A84BB7" w:rsidRDefault="00A84BB7">
            <w:pPr>
              <w:jc w:val="right"/>
              <w:rPr>
                <w:rFonts w:ascii="Calibri" w:hAnsi="Calibri" w:cs="Calibri"/>
                <w:color w:val="000000"/>
              </w:rPr>
            </w:pPr>
            <w:r>
              <w:rPr>
                <w:rFonts w:ascii="Calibri" w:hAnsi="Calibri" w:cs="Calibri"/>
                <w:color w:val="000000"/>
              </w:rPr>
              <w:t>13.424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838E1A" w14:textId="77777777" w:rsidR="00A84BB7" w:rsidRDefault="00A84BB7">
            <w:pPr>
              <w:jc w:val="right"/>
              <w:rPr>
                <w:rFonts w:ascii="Calibri" w:hAnsi="Calibri" w:cs="Calibri"/>
                <w:color w:val="000000"/>
              </w:rPr>
            </w:pPr>
            <w:r>
              <w:rPr>
                <w:rFonts w:ascii="Calibri" w:hAnsi="Calibri" w:cs="Calibri"/>
                <w:color w:val="000000"/>
              </w:rPr>
              <w:t>45.3141</w:t>
            </w:r>
          </w:p>
        </w:tc>
      </w:tr>
      <w:tr w:rsidR="00A84BB7" w14:paraId="7E5B670B" w14:textId="77777777" w:rsidTr="00A84BB7">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FAC090"/>
            <w:noWrap/>
            <w:tcMar>
              <w:top w:w="15" w:type="dxa"/>
              <w:left w:w="15" w:type="dxa"/>
              <w:bottom w:w="0" w:type="dxa"/>
              <w:right w:w="15" w:type="dxa"/>
            </w:tcMar>
            <w:vAlign w:val="bottom"/>
            <w:hideMark/>
          </w:tcPr>
          <w:p w14:paraId="5CE2A832" w14:textId="77777777" w:rsidR="00A84BB7" w:rsidRDefault="00A84BB7">
            <w:pPr>
              <w:rPr>
                <w:rFonts w:ascii="Calibri" w:hAnsi="Calibri" w:cs="Calibri"/>
                <w:b/>
                <w:bCs/>
                <w:color w:val="000000"/>
              </w:rPr>
            </w:pPr>
            <w:r>
              <w:rPr>
                <w:rFonts w:ascii="Calibri" w:hAnsi="Calibri" w:cs="Calibri"/>
                <w:b/>
                <w:bCs/>
                <w:color w:val="000000"/>
              </w:rPr>
              <w:t xml:space="preserve">EU BENCHMARK  </w:t>
            </w:r>
          </w:p>
        </w:tc>
      </w:tr>
      <w:tr w:rsidR="00A84BB7" w14:paraId="09AF2324"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D0BE2" w14:textId="77777777" w:rsidR="00A84BB7" w:rsidRDefault="00A84BB7">
            <w:pPr>
              <w:rPr>
                <w:rFonts w:ascii="Calibri" w:hAnsi="Calibri" w:cs="Calibri"/>
                <w:color w:val="000000"/>
              </w:rPr>
            </w:pPr>
            <w:r>
              <w:rPr>
                <w:rFonts w:ascii="Calibri" w:hAnsi="Calibri" w:cs="Calibri"/>
                <w:color w:val="000000"/>
              </w:rPr>
              <w:t>EURO 2 Year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D8C62" w14:textId="77777777" w:rsidR="00A84BB7" w:rsidRDefault="00A84BB7">
            <w:pPr>
              <w:jc w:val="right"/>
              <w:rPr>
                <w:rFonts w:ascii="Calibri" w:hAnsi="Calibri" w:cs="Calibri"/>
                <w:color w:val="000000"/>
              </w:rPr>
            </w:pPr>
            <w:r>
              <w:rPr>
                <w:rFonts w:ascii="Calibri" w:hAnsi="Calibri" w:cs="Calibri"/>
                <w:color w:val="000000"/>
              </w:rPr>
              <w:t>-0.248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F56AF" w14:textId="77777777" w:rsidR="00A84BB7" w:rsidRDefault="00A84BB7">
            <w:pPr>
              <w:jc w:val="right"/>
              <w:rPr>
                <w:rFonts w:ascii="Calibri" w:hAnsi="Calibri" w:cs="Calibri"/>
                <w:color w:val="000000"/>
              </w:rPr>
            </w:pPr>
            <w:r>
              <w:rPr>
                <w:rFonts w:ascii="Calibri" w:hAnsi="Calibri" w:cs="Calibri"/>
                <w:color w:val="000000"/>
              </w:rPr>
              <w:t>59.143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D2B34" w14:textId="77777777" w:rsidR="00A84BB7" w:rsidRDefault="00A84BB7">
            <w:pPr>
              <w:jc w:val="right"/>
              <w:rPr>
                <w:rFonts w:ascii="Calibri" w:hAnsi="Calibri" w:cs="Calibri"/>
                <w:color w:val="000000"/>
              </w:rPr>
            </w:pPr>
            <w:r>
              <w:rPr>
                <w:rFonts w:ascii="Calibri" w:hAnsi="Calibri" w:cs="Calibri"/>
                <w:color w:val="000000"/>
              </w:rPr>
              <w:t>60</w:t>
            </w:r>
          </w:p>
        </w:tc>
      </w:tr>
      <w:tr w:rsidR="00A84BB7" w14:paraId="08B14CD4"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3C6DD" w14:textId="77777777" w:rsidR="00A84BB7" w:rsidRDefault="00A84BB7">
            <w:pPr>
              <w:rPr>
                <w:rFonts w:ascii="Calibri" w:hAnsi="Calibri" w:cs="Calibri"/>
                <w:color w:val="000000"/>
              </w:rPr>
            </w:pPr>
            <w:r>
              <w:rPr>
                <w:rFonts w:ascii="Calibri" w:hAnsi="Calibri" w:cs="Calibri"/>
                <w:color w:val="000000"/>
              </w:rPr>
              <w:t>EURO 5 Year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0DB43" w14:textId="77777777" w:rsidR="00A84BB7" w:rsidRDefault="00A84BB7">
            <w:pPr>
              <w:jc w:val="right"/>
              <w:rPr>
                <w:rFonts w:ascii="Calibri" w:hAnsi="Calibri" w:cs="Calibri"/>
                <w:color w:val="000000"/>
              </w:rPr>
            </w:pPr>
            <w:r>
              <w:rPr>
                <w:rFonts w:ascii="Calibri" w:hAnsi="Calibri" w:cs="Calibri"/>
                <w:color w:val="000000"/>
              </w:rPr>
              <w:t>0.048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85E0C" w14:textId="77777777" w:rsidR="00A84BB7" w:rsidRDefault="00A84BB7">
            <w:pPr>
              <w:jc w:val="right"/>
              <w:rPr>
                <w:rFonts w:ascii="Calibri" w:hAnsi="Calibri" w:cs="Calibri"/>
                <w:color w:val="000000"/>
              </w:rPr>
            </w:pPr>
            <w:r>
              <w:rPr>
                <w:rFonts w:ascii="Calibri" w:hAnsi="Calibri" w:cs="Calibri"/>
                <w:color w:val="000000"/>
              </w:rPr>
              <w:t>115.738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CE1DB" w14:textId="77777777" w:rsidR="00A84BB7" w:rsidRDefault="00A84BB7">
            <w:pPr>
              <w:jc w:val="right"/>
              <w:rPr>
                <w:rFonts w:ascii="Calibri" w:hAnsi="Calibri" w:cs="Calibri"/>
                <w:color w:val="000000"/>
              </w:rPr>
            </w:pPr>
            <w:r>
              <w:rPr>
                <w:rFonts w:ascii="Calibri" w:hAnsi="Calibri" w:cs="Calibri"/>
                <w:color w:val="000000"/>
              </w:rPr>
              <w:t>110.596</w:t>
            </w:r>
          </w:p>
        </w:tc>
      </w:tr>
      <w:tr w:rsidR="00A84BB7" w14:paraId="7A98637F"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D1252" w14:textId="77777777" w:rsidR="00A84BB7" w:rsidRDefault="00A84BB7">
            <w:pPr>
              <w:rPr>
                <w:rFonts w:ascii="Calibri" w:hAnsi="Calibri" w:cs="Calibri"/>
                <w:color w:val="000000"/>
              </w:rPr>
            </w:pPr>
            <w:r>
              <w:rPr>
                <w:rFonts w:ascii="Calibri" w:hAnsi="Calibri" w:cs="Calibri"/>
                <w:color w:val="000000"/>
              </w:rPr>
              <w:t>EURO 10 Year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149B33" w14:textId="77777777" w:rsidR="00A84BB7" w:rsidRDefault="00A84BB7">
            <w:pPr>
              <w:jc w:val="right"/>
              <w:rPr>
                <w:rFonts w:ascii="Calibri" w:hAnsi="Calibri" w:cs="Calibri"/>
                <w:color w:val="000000"/>
              </w:rPr>
            </w:pPr>
            <w:r>
              <w:rPr>
                <w:rFonts w:ascii="Calibri" w:hAnsi="Calibri" w:cs="Calibri"/>
                <w:color w:val="000000"/>
              </w:rPr>
              <w:t>0.205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2AAFA" w14:textId="77777777" w:rsidR="00A84BB7" w:rsidRDefault="00A84BB7">
            <w:pPr>
              <w:jc w:val="right"/>
              <w:rPr>
                <w:rFonts w:ascii="Calibri" w:hAnsi="Calibri" w:cs="Calibri"/>
                <w:color w:val="000000"/>
              </w:rPr>
            </w:pPr>
            <w:r>
              <w:rPr>
                <w:rFonts w:ascii="Calibri" w:hAnsi="Calibri" w:cs="Calibri"/>
                <w:color w:val="000000"/>
              </w:rPr>
              <w:t>555.556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5FC2E" w14:textId="77777777" w:rsidR="00A84BB7" w:rsidRDefault="00A84BB7">
            <w:pPr>
              <w:jc w:val="right"/>
              <w:rPr>
                <w:rFonts w:ascii="Calibri" w:hAnsi="Calibri" w:cs="Calibri"/>
                <w:color w:val="000000"/>
              </w:rPr>
            </w:pPr>
            <w:r>
              <w:rPr>
                <w:rFonts w:ascii="Calibri" w:hAnsi="Calibri" w:cs="Calibri"/>
                <w:color w:val="000000"/>
              </w:rPr>
              <w:t>215.8192</w:t>
            </w:r>
          </w:p>
        </w:tc>
      </w:tr>
      <w:tr w:rsidR="00A84BB7" w14:paraId="583BEC3F" w14:textId="77777777" w:rsidTr="00A84BB7">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FAC090"/>
            <w:noWrap/>
            <w:tcMar>
              <w:top w:w="15" w:type="dxa"/>
              <w:left w:w="15" w:type="dxa"/>
              <w:bottom w:w="0" w:type="dxa"/>
              <w:right w:w="15" w:type="dxa"/>
            </w:tcMar>
            <w:vAlign w:val="bottom"/>
            <w:hideMark/>
          </w:tcPr>
          <w:p w14:paraId="432E09D4" w14:textId="77777777" w:rsidR="00A84BB7" w:rsidRDefault="00A84BB7">
            <w:pPr>
              <w:rPr>
                <w:rFonts w:ascii="Calibri" w:hAnsi="Calibri" w:cs="Calibri"/>
                <w:b/>
                <w:bCs/>
                <w:color w:val="000000"/>
              </w:rPr>
            </w:pPr>
            <w:r>
              <w:rPr>
                <w:rFonts w:ascii="Calibri" w:hAnsi="Calibri" w:cs="Calibri"/>
                <w:b/>
                <w:bCs/>
                <w:color w:val="000000"/>
              </w:rPr>
              <w:t xml:space="preserve">JP BENCHMARK  </w:t>
            </w:r>
          </w:p>
        </w:tc>
      </w:tr>
      <w:tr w:rsidR="00A84BB7" w14:paraId="2EBA0046"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30BC0" w14:textId="77777777" w:rsidR="00A84BB7" w:rsidRDefault="00A84BB7">
            <w:pPr>
              <w:rPr>
                <w:rFonts w:ascii="Calibri" w:hAnsi="Calibri" w:cs="Calibri"/>
                <w:color w:val="000000"/>
              </w:rPr>
            </w:pPr>
            <w:r>
              <w:rPr>
                <w:rFonts w:ascii="Calibri" w:hAnsi="Calibri" w:cs="Calibri"/>
                <w:color w:val="000000"/>
              </w:rPr>
              <w:t>Japan Govt 2Y Simple Yield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467693" w14:textId="77777777" w:rsidR="00A84BB7" w:rsidRDefault="00A84BB7">
            <w:pPr>
              <w:jc w:val="right"/>
              <w:rPr>
                <w:rFonts w:ascii="Calibri" w:hAnsi="Calibri" w:cs="Calibri"/>
                <w:color w:val="000000"/>
              </w:rPr>
            </w:pPr>
            <w:r>
              <w:rPr>
                <w:rFonts w:ascii="Calibri" w:hAnsi="Calibri" w:cs="Calibri"/>
                <w:color w:val="000000"/>
              </w:rPr>
              <w:t>-0.043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3FDD96" w14:textId="77777777" w:rsidR="00A84BB7" w:rsidRDefault="00A84BB7">
            <w:pPr>
              <w:jc w:val="right"/>
              <w:rPr>
                <w:rFonts w:ascii="Calibri" w:hAnsi="Calibri" w:cs="Calibri"/>
                <w:color w:val="000000"/>
              </w:rPr>
            </w:pPr>
            <w:r>
              <w:rPr>
                <w:rFonts w:ascii="Calibri" w:hAnsi="Calibri" w:cs="Calibri"/>
                <w:color w:val="000000"/>
              </w:rPr>
              <w:t>12.245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4AAD2" w14:textId="77777777" w:rsidR="00A84BB7" w:rsidRDefault="00A84BB7">
            <w:pPr>
              <w:jc w:val="right"/>
              <w:rPr>
                <w:rFonts w:ascii="Calibri" w:hAnsi="Calibri" w:cs="Calibri"/>
                <w:color w:val="000000"/>
              </w:rPr>
            </w:pPr>
            <w:r>
              <w:rPr>
                <w:rFonts w:ascii="Calibri" w:hAnsi="Calibri" w:cs="Calibri"/>
                <w:color w:val="000000"/>
              </w:rPr>
              <w:t>51.6854</w:t>
            </w:r>
          </w:p>
        </w:tc>
      </w:tr>
      <w:tr w:rsidR="00A84BB7" w14:paraId="63FB9159"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949EF" w14:textId="77777777" w:rsidR="00A84BB7" w:rsidRDefault="00A84BB7">
            <w:pPr>
              <w:rPr>
                <w:rFonts w:ascii="Calibri" w:hAnsi="Calibri" w:cs="Calibri"/>
                <w:color w:val="000000"/>
              </w:rPr>
            </w:pPr>
            <w:r>
              <w:rPr>
                <w:rFonts w:ascii="Calibri" w:hAnsi="Calibri" w:cs="Calibri"/>
                <w:color w:val="000000"/>
              </w:rPr>
              <w:t>Japan Govt 5Y Simple Yield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61AC2" w14:textId="77777777" w:rsidR="00A84BB7" w:rsidRDefault="00A84BB7">
            <w:pPr>
              <w:jc w:val="right"/>
              <w:rPr>
                <w:rFonts w:ascii="Calibri" w:hAnsi="Calibri" w:cs="Calibri"/>
                <w:color w:val="000000"/>
              </w:rPr>
            </w:pPr>
            <w:r>
              <w:rPr>
                <w:rFonts w:ascii="Calibri" w:hAnsi="Calibri" w:cs="Calibri"/>
                <w:color w:val="000000"/>
              </w:rPr>
              <w:t>0.005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D6283" w14:textId="77777777" w:rsidR="00A84BB7" w:rsidRDefault="00A84BB7">
            <w:pPr>
              <w:jc w:val="right"/>
              <w:rPr>
                <w:rFonts w:ascii="Calibri" w:hAnsi="Calibri" w:cs="Calibri"/>
                <w:color w:val="000000"/>
              </w:rPr>
            </w:pPr>
            <w:r>
              <w:rPr>
                <w:rFonts w:ascii="Calibri" w:hAnsi="Calibri" w:cs="Calibri"/>
                <w:color w:val="000000"/>
              </w:rPr>
              <w:t>127.778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913DA" w14:textId="77777777" w:rsidR="00A84BB7" w:rsidRDefault="00A84BB7">
            <w:pPr>
              <w:jc w:val="right"/>
              <w:rPr>
                <w:rFonts w:ascii="Calibri" w:hAnsi="Calibri" w:cs="Calibri"/>
                <w:color w:val="000000"/>
              </w:rPr>
            </w:pPr>
            <w:r>
              <w:rPr>
                <w:rFonts w:ascii="Calibri" w:hAnsi="Calibri" w:cs="Calibri"/>
                <w:color w:val="000000"/>
              </w:rPr>
              <w:t>106.6667</w:t>
            </w:r>
          </w:p>
        </w:tc>
      </w:tr>
      <w:tr w:rsidR="00A84BB7" w14:paraId="2522941D"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3E69D" w14:textId="77777777" w:rsidR="00A84BB7" w:rsidRDefault="00A84BB7">
            <w:pPr>
              <w:rPr>
                <w:rFonts w:ascii="Calibri" w:hAnsi="Calibri" w:cs="Calibri"/>
                <w:color w:val="000000"/>
              </w:rPr>
            </w:pPr>
            <w:r>
              <w:rPr>
                <w:rFonts w:ascii="Calibri" w:hAnsi="Calibri" w:cs="Calibri"/>
                <w:color w:val="000000"/>
              </w:rPr>
              <w:t>Japan Govt 10 Yr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2E25D" w14:textId="77777777" w:rsidR="00A84BB7" w:rsidRDefault="00A84BB7">
            <w:pPr>
              <w:jc w:val="right"/>
              <w:rPr>
                <w:rFonts w:ascii="Calibri" w:hAnsi="Calibri" w:cs="Calibri"/>
                <w:color w:val="000000"/>
              </w:rPr>
            </w:pPr>
            <w:r>
              <w:rPr>
                <w:rFonts w:ascii="Calibri" w:hAnsi="Calibri" w:cs="Calibri"/>
                <w:color w:val="000000"/>
              </w:rPr>
              <w:t>0.198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A2CEA6" w14:textId="77777777" w:rsidR="00A84BB7" w:rsidRDefault="00A84BB7">
            <w:pPr>
              <w:jc w:val="right"/>
              <w:rPr>
                <w:rFonts w:ascii="Calibri" w:hAnsi="Calibri" w:cs="Calibri"/>
                <w:color w:val="000000"/>
              </w:rPr>
            </w:pPr>
            <w:r>
              <w:rPr>
                <w:rFonts w:ascii="Calibri" w:hAnsi="Calibri" w:cs="Calibri"/>
                <w:color w:val="000000"/>
              </w:rPr>
              <w:t>15.789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E6702" w14:textId="77777777" w:rsidR="00A84BB7" w:rsidRDefault="00A84BB7">
            <w:pPr>
              <w:jc w:val="right"/>
              <w:rPr>
                <w:rFonts w:ascii="Calibri" w:hAnsi="Calibri" w:cs="Calibri"/>
                <w:color w:val="000000"/>
              </w:rPr>
            </w:pPr>
            <w:r>
              <w:rPr>
                <w:rFonts w:ascii="Calibri" w:hAnsi="Calibri" w:cs="Calibri"/>
                <w:color w:val="000000"/>
              </w:rPr>
              <w:t>178.8732</w:t>
            </w:r>
          </w:p>
        </w:tc>
      </w:tr>
      <w:tr w:rsidR="00A84BB7" w14:paraId="18F9F502" w14:textId="77777777" w:rsidTr="00A84BB7">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FAC090"/>
            <w:noWrap/>
            <w:tcMar>
              <w:top w:w="15" w:type="dxa"/>
              <w:left w:w="15" w:type="dxa"/>
              <w:bottom w:w="0" w:type="dxa"/>
              <w:right w:w="15" w:type="dxa"/>
            </w:tcMar>
            <w:vAlign w:val="bottom"/>
            <w:hideMark/>
          </w:tcPr>
          <w:p w14:paraId="3A98F4F4" w14:textId="77777777" w:rsidR="00A84BB7" w:rsidRDefault="00A84BB7">
            <w:pPr>
              <w:rPr>
                <w:rFonts w:ascii="Calibri" w:hAnsi="Calibri" w:cs="Calibri"/>
                <w:b/>
                <w:bCs/>
                <w:color w:val="000000"/>
              </w:rPr>
            </w:pPr>
            <w:r>
              <w:rPr>
                <w:rFonts w:ascii="Calibri" w:hAnsi="Calibri" w:cs="Calibri"/>
                <w:b/>
                <w:bCs/>
                <w:color w:val="000000"/>
              </w:rPr>
              <w:t xml:space="preserve">ENERGY </w:t>
            </w:r>
          </w:p>
        </w:tc>
      </w:tr>
      <w:tr w:rsidR="00A84BB7" w14:paraId="0A46D4B1"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390253" w14:textId="77777777" w:rsidR="00A84BB7" w:rsidRDefault="00A84BB7">
            <w:pPr>
              <w:rPr>
                <w:rFonts w:ascii="Calibri" w:hAnsi="Calibri" w:cs="Calibri"/>
                <w:color w:val="000000"/>
              </w:rPr>
            </w:pPr>
            <w:r>
              <w:rPr>
                <w:rFonts w:ascii="Calibri" w:hAnsi="Calibri" w:cs="Calibri"/>
                <w:color w:val="000000"/>
              </w:rPr>
              <w:t>WTI CRUDE FUTURE  Mar22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B179F" w14:textId="77777777" w:rsidR="00A84BB7" w:rsidRDefault="00A84BB7">
            <w:pPr>
              <w:jc w:val="right"/>
              <w:rPr>
                <w:rFonts w:ascii="Calibri" w:hAnsi="Calibri" w:cs="Calibri"/>
                <w:color w:val="000000"/>
              </w:rPr>
            </w:pPr>
            <w:r>
              <w:rPr>
                <w:rFonts w:ascii="Calibri" w:hAnsi="Calibri" w:cs="Calibri"/>
                <w:color w:val="000000"/>
              </w:rPr>
              <w:t>92.31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61711" w14:textId="77777777" w:rsidR="00A84BB7" w:rsidRDefault="00A84BB7">
            <w:pPr>
              <w:jc w:val="right"/>
              <w:rPr>
                <w:rFonts w:ascii="Calibri" w:hAnsi="Calibri" w:cs="Calibri"/>
                <w:color w:val="000000"/>
              </w:rPr>
            </w:pPr>
            <w:r>
              <w:rPr>
                <w:rFonts w:ascii="Calibri" w:hAnsi="Calibri" w:cs="Calibri"/>
                <w:color w:val="000000"/>
              </w:rPr>
              <w:t>6.32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F94A8" w14:textId="77777777" w:rsidR="00A84BB7" w:rsidRDefault="00A84BB7">
            <w:pPr>
              <w:jc w:val="right"/>
              <w:rPr>
                <w:rFonts w:ascii="Calibri" w:hAnsi="Calibri" w:cs="Calibri"/>
                <w:color w:val="000000"/>
              </w:rPr>
            </w:pPr>
            <w:r>
              <w:rPr>
                <w:rFonts w:ascii="Calibri" w:hAnsi="Calibri" w:cs="Calibri"/>
                <w:color w:val="000000"/>
              </w:rPr>
              <w:t>23.2772</w:t>
            </w:r>
          </w:p>
        </w:tc>
      </w:tr>
      <w:tr w:rsidR="00A84BB7" w14:paraId="65694D0B"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A3C20" w14:textId="77777777" w:rsidR="00A84BB7" w:rsidRDefault="00A84BB7">
            <w:pPr>
              <w:rPr>
                <w:rFonts w:ascii="Calibri" w:hAnsi="Calibri" w:cs="Calibri"/>
                <w:color w:val="000000"/>
              </w:rPr>
            </w:pPr>
            <w:r>
              <w:rPr>
                <w:rFonts w:ascii="Calibri" w:hAnsi="Calibri" w:cs="Calibri"/>
                <w:color w:val="000000"/>
              </w:rPr>
              <w:t>BRENT CRUDE FUTR  Apr22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C18FCF" w14:textId="77777777" w:rsidR="00A84BB7" w:rsidRDefault="00A84BB7">
            <w:pPr>
              <w:jc w:val="right"/>
              <w:rPr>
                <w:rFonts w:ascii="Calibri" w:hAnsi="Calibri" w:cs="Calibri"/>
                <w:color w:val="000000"/>
              </w:rPr>
            </w:pPr>
            <w:r>
              <w:rPr>
                <w:rFonts w:ascii="Calibri" w:hAnsi="Calibri" w:cs="Calibri"/>
                <w:color w:val="000000"/>
              </w:rPr>
              <w:t>93.27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6DF86" w14:textId="77777777" w:rsidR="00A84BB7" w:rsidRDefault="00A84BB7">
            <w:pPr>
              <w:jc w:val="right"/>
              <w:rPr>
                <w:rFonts w:ascii="Calibri" w:hAnsi="Calibri" w:cs="Calibri"/>
                <w:color w:val="000000"/>
              </w:rPr>
            </w:pPr>
            <w:r>
              <w:rPr>
                <w:rFonts w:ascii="Calibri" w:hAnsi="Calibri" w:cs="Calibri"/>
                <w:color w:val="000000"/>
              </w:rPr>
              <w:t>5.37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A0407" w14:textId="77777777" w:rsidR="00A84BB7" w:rsidRDefault="00A84BB7">
            <w:pPr>
              <w:jc w:val="right"/>
              <w:rPr>
                <w:rFonts w:ascii="Calibri" w:hAnsi="Calibri" w:cs="Calibri"/>
                <w:color w:val="000000"/>
              </w:rPr>
            </w:pPr>
            <w:r>
              <w:rPr>
                <w:rFonts w:ascii="Calibri" w:hAnsi="Calibri" w:cs="Calibri"/>
                <w:color w:val="000000"/>
              </w:rPr>
              <w:t>20.5818</w:t>
            </w:r>
          </w:p>
        </w:tc>
      </w:tr>
      <w:tr w:rsidR="00A84BB7" w14:paraId="696F3D47" w14:textId="77777777" w:rsidTr="00A84BB7">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FAC090"/>
            <w:noWrap/>
            <w:tcMar>
              <w:top w:w="15" w:type="dxa"/>
              <w:left w:w="15" w:type="dxa"/>
              <w:bottom w:w="0" w:type="dxa"/>
              <w:right w:w="15" w:type="dxa"/>
            </w:tcMar>
            <w:vAlign w:val="bottom"/>
            <w:hideMark/>
          </w:tcPr>
          <w:p w14:paraId="13BD8A4C" w14:textId="77777777" w:rsidR="00A84BB7" w:rsidRDefault="00A84BB7">
            <w:pPr>
              <w:rPr>
                <w:rFonts w:ascii="Calibri" w:hAnsi="Calibri" w:cs="Calibri"/>
                <w:b/>
                <w:bCs/>
                <w:color w:val="000000"/>
              </w:rPr>
            </w:pPr>
            <w:r>
              <w:rPr>
                <w:rFonts w:ascii="Calibri" w:hAnsi="Calibri" w:cs="Calibri"/>
                <w:b/>
                <w:bCs/>
                <w:color w:val="000000"/>
              </w:rPr>
              <w:t xml:space="preserve">GOLD  </w:t>
            </w:r>
          </w:p>
        </w:tc>
      </w:tr>
      <w:tr w:rsidR="00A84BB7" w14:paraId="4ED90306" w14:textId="77777777" w:rsidTr="00A84BB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ECB6B" w14:textId="77777777" w:rsidR="00A84BB7" w:rsidRDefault="00A84BB7">
            <w:pPr>
              <w:rPr>
                <w:rFonts w:ascii="Calibri" w:hAnsi="Calibri" w:cs="Calibri"/>
                <w:color w:val="000000"/>
              </w:rPr>
            </w:pPr>
            <w:r>
              <w:rPr>
                <w:rFonts w:ascii="Calibri" w:hAnsi="Calibri" w:cs="Calibri"/>
                <w:color w:val="000000"/>
              </w:rPr>
              <w:t>GOLD 100 OZ FUTR  Apr22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EC706" w14:textId="77777777" w:rsidR="00A84BB7" w:rsidRDefault="00A84BB7">
            <w:pPr>
              <w:jc w:val="right"/>
              <w:rPr>
                <w:rFonts w:ascii="Calibri" w:hAnsi="Calibri" w:cs="Calibri"/>
                <w:color w:val="000000"/>
              </w:rPr>
            </w:pPr>
            <w:r>
              <w:rPr>
                <w:rFonts w:ascii="Calibri" w:hAnsi="Calibri" w:cs="Calibri"/>
                <w:color w:val="000000"/>
              </w:rPr>
              <w:t>1807.8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C61476" w14:textId="77777777" w:rsidR="00A84BB7" w:rsidRDefault="00A84BB7">
            <w:pPr>
              <w:jc w:val="right"/>
              <w:rPr>
                <w:rFonts w:ascii="Calibri" w:hAnsi="Calibri" w:cs="Calibri"/>
                <w:color w:val="000000"/>
              </w:rPr>
            </w:pPr>
            <w:r>
              <w:rPr>
                <w:rFonts w:ascii="Calibri" w:hAnsi="Calibri" w:cs="Calibri"/>
                <w:color w:val="000000"/>
              </w:rPr>
              <w:t>1.187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BC032" w14:textId="77777777" w:rsidR="00A84BB7" w:rsidRDefault="00A84BB7">
            <w:pPr>
              <w:jc w:val="right"/>
              <w:rPr>
                <w:rFonts w:ascii="Calibri" w:hAnsi="Calibri" w:cs="Calibri"/>
                <w:color w:val="000000"/>
              </w:rPr>
            </w:pPr>
            <w:r>
              <w:rPr>
                <w:rFonts w:ascii="Calibri" w:hAnsi="Calibri" w:cs="Calibri"/>
                <w:color w:val="000000"/>
              </w:rPr>
              <w:t>-1.2671</w:t>
            </w:r>
          </w:p>
        </w:tc>
      </w:tr>
    </w:tbl>
    <w:p w14:paraId="0D7F27CC" w14:textId="6EAAF728" w:rsidR="00A15373" w:rsidRDefault="00A15373" w:rsidP="00A15373">
      <w:pPr>
        <w:ind w:left="6480" w:firstLine="720"/>
      </w:pPr>
    </w:p>
    <w:p w14:paraId="2FD8BA8F" w14:textId="77777777" w:rsidR="008630F0" w:rsidRDefault="008630F0" w:rsidP="00A15373">
      <w:pPr>
        <w:ind w:left="6480" w:firstLine="720"/>
      </w:pPr>
    </w:p>
    <w:p w14:paraId="7616D1C8" w14:textId="77777777" w:rsidR="008630F0" w:rsidRDefault="008630F0" w:rsidP="008630F0">
      <w:pPr>
        <w:ind w:left="7200"/>
      </w:pPr>
      <w:r>
        <w:rPr>
          <w:noProof/>
          <w:lang w:val="en-GB" w:eastAsia="en-GB"/>
        </w:rPr>
        <w:lastRenderedPageBreak/>
        <w:drawing>
          <wp:inline distT="0" distB="0" distL="0" distR="0" wp14:anchorId="30F98BE2" wp14:editId="70782E19">
            <wp:extent cx="2124075" cy="457200"/>
            <wp:effectExtent l="0" t="0" r="9525" b="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low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24075" cy="457200"/>
                    </a:xfrm>
                    <a:prstGeom prst="rect">
                      <a:avLst/>
                    </a:prstGeom>
                    <a:noFill/>
                    <a:ln>
                      <a:noFill/>
                    </a:ln>
                  </pic:spPr>
                </pic:pic>
              </a:graphicData>
            </a:graphic>
          </wp:inline>
        </w:drawing>
      </w:r>
    </w:p>
    <w:p w14:paraId="647ACB1B" w14:textId="77777777" w:rsidR="008630F0" w:rsidRDefault="008630F0" w:rsidP="008630F0">
      <w:pPr>
        <w:ind w:firstLine="720"/>
        <w:rPr>
          <w:b/>
          <w:bCs/>
          <w:lang w:val="en-GB"/>
        </w:rPr>
      </w:pPr>
      <w:r>
        <w:rPr>
          <w:b/>
          <w:bCs/>
          <w:lang w:val="en-GB"/>
        </w:rPr>
        <w:t>Disclaimer</w:t>
      </w:r>
    </w:p>
    <w:p w14:paraId="55CEC8E9" w14:textId="77777777" w:rsidR="008630F0" w:rsidRDefault="008630F0" w:rsidP="008630F0">
      <w:pPr>
        <w:rPr>
          <w:lang w:val="en-GB"/>
        </w:rPr>
      </w:pPr>
    </w:p>
    <w:p w14:paraId="78FE8761" w14:textId="77777777" w:rsidR="008630F0" w:rsidRDefault="008630F0" w:rsidP="008630F0">
      <w:pPr>
        <w:rPr>
          <w:lang w:val="en-GB"/>
        </w:rPr>
      </w:pPr>
      <w:r>
        <w:rPr>
          <w:lang w:val="en-GB"/>
        </w:rPr>
        <w:t xml:space="preserve">Note: </w:t>
      </w:r>
      <w:r>
        <w:rPr>
          <w:b/>
          <w:bCs/>
          <w:u w:val="single"/>
          <w:lang w:val="en-GB"/>
        </w:rPr>
        <w:t>Disclaimer: This document is intended for and directed at investment professionals and not intended for retail customers. Persons who do not have professional experience in matters relating to investment should not rely on this document.</w:t>
      </w:r>
    </w:p>
    <w:p w14:paraId="579C944A" w14:textId="77777777" w:rsidR="008630F0" w:rsidRDefault="008630F0" w:rsidP="008630F0">
      <w:pPr>
        <w:rPr>
          <w:lang w:val="en-GB"/>
        </w:rPr>
      </w:pPr>
      <w:r>
        <w:rPr>
          <w:lang w:val="en-GB"/>
        </w:rPr>
        <w:t> </w:t>
      </w:r>
    </w:p>
    <w:p w14:paraId="2CF1C50F" w14:textId="77777777" w:rsidR="008630F0" w:rsidRDefault="008630F0" w:rsidP="008630F0">
      <w:pPr>
        <w:rPr>
          <w:lang w:val="en-GB"/>
        </w:rPr>
      </w:pPr>
      <w:r>
        <w:rPr>
          <w:lang w:val="en-GB"/>
        </w:rPr>
        <w:t>AQA UCITS Fund SICAV plc is licensed in Malta by the Malta Financial Services Authority as an undertaking for collective investment in transferable securities (UCITS).</w:t>
      </w:r>
    </w:p>
    <w:p w14:paraId="522192AF" w14:textId="77777777" w:rsidR="008630F0" w:rsidRDefault="008630F0" w:rsidP="008630F0">
      <w:pPr>
        <w:rPr>
          <w:lang w:val="en-GB"/>
        </w:rPr>
      </w:pPr>
      <w:r>
        <w:rPr>
          <w:lang w:val="en-GB"/>
        </w:rPr>
        <w:t> </w:t>
      </w:r>
    </w:p>
    <w:p w14:paraId="6D05334A" w14:textId="77777777" w:rsidR="008630F0" w:rsidRDefault="008630F0" w:rsidP="008630F0">
      <w:pPr>
        <w:rPr>
          <w:lang w:val="en-GB"/>
        </w:rPr>
      </w:pPr>
      <w:r>
        <w:rPr>
          <w:lang w:val="en-GB"/>
        </w:rPr>
        <w:t xml:space="preserve">This document is issued by Castlestone Management LLC (“We”).The information contained in this document is not directed at, nor is it intended for distribution to, or use by, persons in any jurisdiction in which the investment products are not authorized for distribution or in which the dissemination of information regarding the investment products is not permitted.  This document is not offering to sell any product. Any investment in the Fund is required to be undertaken in line with the Offering Supplement of the Fund. Copies of the Offering Supplement, audited annual financial statements and half-yearly reports and the key investor information documents (in English Language) are available free of charge upon request. We will not be liable for any use you make of any information in this document. We are not your advisor or fiduciary. We are not recommending or making any representations as to suitability of any product or the tax, legal or accounting treatment of any product. We are not responsible for information stated to be obtained or derived from third party sources. All opinions are given as of the date hereof and are subject to change. We are not obliged to inform you of any such changes. Any projections and opinions expressed herein are expressed solely as general market commentary and do not constitute investment advice or guaranteed return. They represent the views of Castlestone Management LLC at the time of publication and are subject to change without notice. Any simulated performance data and/or past performance data contained herein is not a reliable indicator or guarantee of future performance. An investment in the Fund may include a commission or sales fee which is charged at the time of the initial purchase of the investment and may be deducted from the invested amount therefore lowering the size of your investment. A redemption / contingent deferred sales charge may be charged at the time you redeem your investor and such charge may have an impact on the amount of money you receive back upon your redemption. Income from investments may fluctuate and investors may not recoup the amount originally invested. An investment in the Fund may be effected by changes in currency exchange rates. If you redeem your investment before 6 years, you may be at higher risk of losing some, or all of, the money you invest. Any forward-looking statements concerning the financial condition, results of operations and businesses of Castlestone Management LLC expressed or implied, are based on management's current expectations and assumptions, which may change without notice, and are no guarantee of future results, performance or events. </w:t>
      </w:r>
    </w:p>
    <w:p w14:paraId="7B8D976A" w14:textId="77777777" w:rsidR="008630F0" w:rsidRDefault="008630F0" w:rsidP="008630F0">
      <w:pPr>
        <w:rPr>
          <w:lang w:val="en-GB"/>
        </w:rPr>
      </w:pPr>
      <w:r>
        <w:rPr>
          <w:lang w:val="en-GB"/>
        </w:rPr>
        <w:lastRenderedPageBreak/>
        <w:t xml:space="preserve">Nothing in this document constitutes a representation that any investment strategy or recommendation is suitable or appropriate to an investor’s individual circumstances or otherwise constitutes a personal recommendation. </w:t>
      </w:r>
    </w:p>
    <w:p w14:paraId="01F6AF54" w14:textId="77777777" w:rsidR="008630F0" w:rsidRDefault="008630F0" w:rsidP="008630F0">
      <w:pPr>
        <w:rPr>
          <w:lang w:val="en-GB"/>
        </w:rPr>
      </w:pPr>
      <w:r>
        <w:rPr>
          <w:lang w:val="en-GB"/>
        </w:rPr>
        <w:t xml:space="preserve">Investments involve risks, and investors should exercise prudence and their own judgement in making their investment decisions. Investors and prospective investors should make reference to the risk warnings set out in the Offering Supplement of the Fund. This document is confidential. No part of it may be reproduced, distributed or transmitted without Castlestone Management LLC’s written permission. Neither this document nor any copy of it may be distributed, directly or indirectly, in the United States of America or its territories or possessions (the “United States” or to any US Person as defined in Regulations under the United States Securities Act of 1933 (as amended)). Any failure to comply with these restrictions may constitute a violation of United States securities law. This is not exhaustive; other regional-specific wording may apply. If in doubt, please consult with Castlestone Management LLC’s Compliance department. Castlestone Management LLC is a registered investment adviser in the state of New Jersey. Being registered does not imply a certain level of skill or training. Investment in any Fund involves significant risks. A prospective or continuing investor should not invest in any Fund unless satisfied that it and/or its investment representative or professional adviser has/have asked for and received all information which would enable it or both of them to evaluate the risks in terms of an investment or continued investment in the Fund. The information in this document has not been approved or verified by the United States Securities and Exchange Commission or by any state securities authority. No invitation to the public in Hong Kong to buy or subscribe for any product is permitted to be made. You should consult your own attorney, business adviser and tax adviser as to legal, business, tax and related matters concerning any of the contents of this document. </w:t>
      </w:r>
    </w:p>
    <w:p w14:paraId="6FB0D9B1" w14:textId="77777777" w:rsidR="008630F0" w:rsidRDefault="008630F0" w:rsidP="008630F0">
      <w:pPr>
        <w:rPr>
          <w:lang w:val="en-GB"/>
        </w:rPr>
      </w:pPr>
      <w:r>
        <w:rPr>
          <w:lang w:val="en-GB"/>
        </w:rPr>
        <w:t xml:space="preserve">Additional information about Castlestone Management LLC is available on the United States Securities and Exchange Commission’s website at </w:t>
      </w:r>
      <w:hyperlink r:id="rId9" w:history="1">
        <w:r>
          <w:rPr>
            <w:rStyle w:val="Hyperlink"/>
            <w:lang w:val="en-GB"/>
          </w:rPr>
          <w:t>https://adviserinfo.sec.gov/firm/summary/170379</w:t>
        </w:r>
      </w:hyperlink>
      <w:r>
        <w:rPr>
          <w:lang w:val="en-GB"/>
        </w:rPr>
        <w:t>.</w:t>
      </w:r>
    </w:p>
    <w:p w14:paraId="6E9C53A3" w14:textId="77777777" w:rsidR="008630F0" w:rsidRDefault="008630F0" w:rsidP="008630F0">
      <w:pPr>
        <w:rPr>
          <w:lang w:val="en-GB"/>
        </w:rPr>
      </w:pPr>
      <w:r>
        <w:rPr>
          <w:lang w:val="en-GB"/>
        </w:rPr>
        <w:t xml:space="preserve">W A R N I N G </w:t>
      </w:r>
    </w:p>
    <w:p w14:paraId="7E417A30" w14:textId="77777777" w:rsidR="008630F0" w:rsidRDefault="008630F0" w:rsidP="008630F0">
      <w:r>
        <w:rPr>
          <w:lang w:val="en-GB"/>
        </w:rPr>
        <w:t>The contents of this document have not been reviewed by any regulatory authority in Hong Kong. You are advised to exercise caution in relation to the offer. If you are in any doubt about any of the contents of this document, you should obtain independent professional advice</w:t>
      </w:r>
    </w:p>
    <w:p w14:paraId="0CA6CD18" w14:textId="77777777" w:rsidR="008630F0" w:rsidRDefault="008630F0" w:rsidP="00A15373">
      <w:pPr>
        <w:ind w:left="6480" w:firstLine="720"/>
      </w:pPr>
    </w:p>
    <w:sectPr w:rsidR="00863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42"/>
    <w:rsid w:val="0038466C"/>
    <w:rsid w:val="004B67FF"/>
    <w:rsid w:val="007E247E"/>
    <w:rsid w:val="008630F0"/>
    <w:rsid w:val="008E65FA"/>
    <w:rsid w:val="00A15373"/>
    <w:rsid w:val="00A56FEA"/>
    <w:rsid w:val="00A84BB7"/>
    <w:rsid w:val="00DF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5C20"/>
  <w15:chartTrackingRefBased/>
  <w15:docId w15:val="{8D508915-0D8F-4699-850A-6DB4B804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A42"/>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DF1A42"/>
  </w:style>
  <w:style w:type="paragraph" w:styleId="NoSpacing">
    <w:name w:val="No Spacing"/>
    <w:uiPriority w:val="1"/>
    <w:qFormat/>
    <w:rsid w:val="00DF1A42"/>
    <w:pPr>
      <w:spacing w:after="0" w:line="240" w:lineRule="auto"/>
    </w:pPr>
  </w:style>
  <w:style w:type="character" w:styleId="Hyperlink">
    <w:name w:val="Hyperlink"/>
    <w:basedOn w:val="DefaultParagraphFont"/>
    <w:uiPriority w:val="99"/>
    <w:semiHidden/>
    <w:unhideWhenUsed/>
    <w:rsid w:val="008630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4205">
      <w:bodyDiv w:val="1"/>
      <w:marLeft w:val="0"/>
      <w:marRight w:val="0"/>
      <w:marTop w:val="0"/>
      <w:marBottom w:val="0"/>
      <w:divBdr>
        <w:top w:val="none" w:sz="0" w:space="0" w:color="auto"/>
        <w:left w:val="none" w:sz="0" w:space="0" w:color="auto"/>
        <w:bottom w:val="none" w:sz="0" w:space="0" w:color="auto"/>
        <w:right w:val="none" w:sz="0" w:space="0" w:color="auto"/>
      </w:divBdr>
    </w:div>
    <w:div w:id="20879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0CE8.FCBC16D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dviserinfo.sec.gov/firm/summary/170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CC89A02738240B12181B527230089" ma:contentTypeVersion="9" ma:contentTypeDescription="Create a new document." ma:contentTypeScope="" ma:versionID="e341002a5872851a388a0b0c4b4e8a2c">
  <xsd:schema xmlns:xsd="http://www.w3.org/2001/XMLSchema" xmlns:xs="http://www.w3.org/2001/XMLSchema" xmlns:p="http://schemas.microsoft.com/office/2006/metadata/properties" xmlns:ns3="d0680ff4-751b-430b-bf0e-931a4540f89b" targetNamespace="http://schemas.microsoft.com/office/2006/metadata/properties" ma:root="true" ma:fieldsID="f7ccaeb1b303d0760c6caee1df6c17ab" ns3:_="">
    <xsd:import namespace="d0680ff4-751b-430b-bf0e-931a4540f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80ff4-751b-430b-bf0e-931a4540f8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1875B-2305-442C-99F8-E095F7AD1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80ff4-751b-430b-bf0e-931a4540f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37851-33D2-4C5B-BE8C-4831CA1C5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C05BB7-422A-4661-930E-6DFBD2124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Conniff</dc:creator>
  <cp:keywords/>
  <dc:description/>
  <cp:lastModifiedBy>Peter Conniff</cp:lastModifiedBy>
  <cp:revision>7</cp:revision>
  <dcterms:created xsi:type="dcterms:W3CDTF">2022-02-05T13:15:00Z</dcterms:created>
  <dcterms:modified xsi:type="dcterms:W3CDTF">2022-02-05T14:31:00Z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0x010100D96CC89A02738240B12181B527230089</vt:lpwstr>
  </property>
</Properties>
</file>